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79" w:rsidRPr="004E4E79" w:rsidRDefault="004E4E79" w:rsidP="004E4E79">
      <w:pPr>
        <w:rPr>
          <w:b/>
          <w:bCs/>
          <w:sz w:val="36"/>
          <w:szCs w:val="36"/>
        </w:rPr>
      </w:pPr>
      <w:bookmarkStart w:id="0" w:name="_GoBack"/>
      <w:r w:rsidRPr="004E4E79">
        <w:rPr>
          <w:rFonts w:hint="eastAsia"/>
          <w:b/>
          <w:bCs/>
          <w:sz w:val="36"/>
          <w:szCs w:val="36"/>
        </w:rPr>
        <w:t>附件三：</w:t>
      </w:r>
    </w:p>
    <w:bookmarkEnd w:id="0"/>
    <w:p w:rsidR="00090A59" w:rsidRDefault="00090A59" w:rsidP="00090A59">
      <w:pPr>
        <w:jc w:val="center"/>
        <w:rPr>
          <w:b/>
          <w:bCs/>
          <w:sz w:val="40"/>
          <w:szCs w:val="40"/>
        </w:rPr>
      </w:pPr>
      <w:r>
        <w:rPr>
          <w:rFonts w:hint="eastAsia"/>
          <w:b/>
          <w:bCs/>
          <w:sz w:val="40"/>
          <w:szCs w:val="40"/>
        </w:rPr>
        <w:t>检验技能</w:t>
      </w:r>
      <w:r w:rsidR="00BE0DAB">
        <w:rPr>
          <w:rFonts w:hint="eastAsia"/>
          <w:b/>
          <w:bCs/>
          <w:sz w:val="40"/>
          <w:szCs w:val="40"/>
        </w:rPr>
        <w:t>竞赛</w:t>
      </w:r>
      <w:r>
        <w:rPr>
          <w:rFonts w:hint="eastAsia"/>
          <w:b/>
          <w:bCs/>
          <w:sz w:val="40"/>
          <w:szCs w:val="40"/>
        </w:rPr>
        <w:t>用材料供应商采购</w:t>
      </w:r>
    </w:p>
    <w:p w:rsidR="00090A59" w:rsidRDefault="00090A59" w:rsidP="00090A59">
      <w:pPr>
        <w:jc w:val="center"/>
        <w:rPr>
          <w:b/>
          <w:bCs/>
          <w:sz w:val="40"/>
          <w:szCs w:val="40"/>
        </w:rPr>
      </w:pPr>
      <w:r>
        <w:rPr>
          <w:rFonts w:hint="eastAsia"/>
          <w:b/>
          <w:bCs/>
          <w:sz w:val="40"/>
          <w:szCs w:val="40"/>
        </w:rPr>
        <w:t>项目综合评分办法</w:t>
      </w:r>
    </w:p>
    <w:p w:rsidR="00090A59" w:rsidRDefault="00090A59" w:rsidP="002176B7">
      <w:pPr>
        <w:rPr>
          <w:rFonts w:ascii="仿宋_GB2312" w:eastAsia="仿宋_GB2312" w:hAnsi="仿宋_GB2312" w:cs="仿宋_GB2312"/>
          <w:b/>
          <w:bCs/>
          <w:color w:val="333333"/>
          <w:kern w:val="0"/>
          <w:sz w:val="28"/>
          <w:szCs w:val="28"/>
          <w:shd w:val="clear" w:color="auto" w:fill="FFFFFF"/>
        </w:rPr>
      </w:pPr>
    </w:p>
    <w:tbl>
      <w:tblPr>
        <w:tblW w:w="9371" w:type="dxa"/>
        <w:tblInd w:w="93" w:type="dxa"/>
        <w:tblLayout w:type="fixed"/>
        <w:tblLook w:val="04A0" w:firstRow="1" w:lastRow="0" w:firstColumn="1" w:lastColumn="0" w:noHBand="0" w:noVBand="1"/>
      </w:tblPr>
      <w:tblGrid>
        <w:gridCol w:w="916"/>
        <w:gridCol w:w="1494"/>
        <w:gridCol w:w="979"/>
        <w:gridCol w:w="3714"/>
        <w:gridCol w:w="2268"/>
      </w:tblGrid>
      <w:tr w:rsidR="00090A59" w:rsidTr="000D4684">
        <w:trPr>
          <w:trHeight w:val="725"/>
        </w:trPr>
        <w:tc>
          <w:tcPr>
            <w:tcW w:w="916" w:type="dxa"/>
            <w:tcBorders>
              <w:top w:val="single" w:sz="8" w:space="0" w:color="auto"/>
              <w:left w:val="single" w:sz="8" w:space="0" w:color="auto"/>
              <w:bottom w:val="single" w:sz="8" w:space="0" w:color="000000"/>
              <w:right w:val="single" w:sz="8" w:space="0" w:color="auto"/>
            </w:tcBorders>
            <w:vAlign w:val="center"/>
          </w:tcPr>
          <w:p w:rsidR="00090A59" w:rsidRDefault="00090A59" w:rsidP="000D468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1494" w:type="dxa"/>
            <w:tcBorders>
              <w:top w:val="single" w:sz="8" w:space="0" w:color="auto"/>
              <w:left w:val="nil"/>
              <w:bottom w:val="single" w:sz="4" w:space="0" w:color="auto"/>
              <w:right w:val="single" w:sz="8" w:space="0" w:color="auto"/>
            </w:tcBorders>
            <w:vAlign w:val="center"/>
          </w:tcPr>
          <w:p w:rsidR="00090A59" w:rsidRDefault="00090A59" w:rsidP="000D4684">
            <w:pPr>
              <w:widowControl/>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评分因素及权重</w:t>
            </w:r>
          </w:p>
        </w:tc>
        <w:tc>
          <w:tcPr>
            <w:tcW w:w="979" w:type="dxa"/>
            <w:tcBorders>
              <w:top w:val="single" w:sz="8" w:space="0" w:color="auto"/>
              <w:left w:val="single" w:sz="8" w:space="0" w:color="auto"/>
              <w:bottom w:val="single" w:sz="4" w:space="0" w:color="auto"/>
              <w:right w:val="single" w:sz="8" w:space="0" w:color="auto"/>
            </w:tcBorders>
            <w:vAlign w:val="center"/>
          </w:tcPr>
          <w:p w:rsidR="00090A59" w:rsidRDefault="00090A59" w:rsidP="000D468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　值</w:t>
            </w:r>
          </w:p>
        </w:tc>
        <w:tc>
          <w:tcPr>
            <w:tcW w:w="3714" w:type="dxa"/>
            <w:tcBorders>
              <w:top w:val="single" w:sz="8" w:space="0" w:color="auto"/>
              <w:left w:val="single" w:sz="8" w:space="0" w:color="auto"/>
              <w:bottom w:val="single" w:sz="8" w:space="0" w:color="000000"/>
              <w:right w:val="single" w:sz="8" w:space="0" w:color="auto"/>
            </w:tcBorders>
            <w:vAlign w:val="center"/>
          </w:tcPr>
          <w:p w:rsidR="00090A59" w:rsidRDefault="00090A59" w:rsidP="000D468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评分标准</w:t>
            </w:r>
          </w:p>
        </w:tc>
        <w:tc>
          <w:tcPr>
            <w:tcW w:w="2268" w:type="dxa"/>
            <w:tcBorders>
              <w:top w:val="single" w:sz="8" w:space="0" w:color="auto"/>
              <w:left w:val="single" w:sz="8" w:space="0" w:color="auto"/>
              <w:bottom w:val="single" w:sz="8" w:space="0" w:color="000000"/>
              <w:right w:val="single" w:sz="8" w:space="0" w:color="auto"/>
            </w:tcBorders>
            <w:vAlign w:val="center"/>
          </w:tcPr>
          <w:p w:rsidR="00090A59" w:rsidRDefault="00090A59" w:rsidP="000D468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说    明</w:t>
            </w:r>
          </w:p>
        </w:tc>
      </w:tr>
      <w:tr w:rsidR="00090A59" w:rsidTr="000D4684">
        <w:trPr>
          <w:trHeight w:val="4272"/>
        </w:trPr>
        <w:tc>
          <w:tcPr>
            <w:tcW w:w="916" w:type="dxa"/>
            <w:tcBorders>
              <w:top w:val="nil"/>
              <w:left w:val="single" w:sz="8" w:space="0" w:color="auto"/>
              <w:bottom w:val="single" w:sz="8" w:space="0" w:color="000000"/>
              <w:right w:val="single" w:sz="8" w:space="0" w:color="auto"/>
            </w:tcBorders>
            <w:vAlign w:val="center"/>
          </w:tcPr>
          <w:p w:rsidR="00090A59" w:rsidRDefault="00090A59" w:rsidP="000D4684">
            <w:pPr>
              <w:widowControl/>
              <w:jc w:val="center"/>
              <w:rPr>
                <w:rFonts w:ascii="仿宋_GB2312" w:eastAsia="仿宋_GB2312" w:hAnsi="仿宋_GB2312" w:cs="仿宋_GB2312"/>
                <w:color w:val="FF0000"/>
                <w:kern w:val="0"/>
                <w:sz w:val="28"/>
                <w:szCs w:val="28"/>
              </w:rPr>
            </w:pPr>
            <w:r>
              <w:rPr>
                <w:rFonts w:ascii="仿宋_GB2312" w:eastAsia="仿宋_GB2312" w:hAnsi="仿宋_GB2312" w:cs="仿宋_GB2312" w:hint="eastAsia"/>
                <w:kern w:val="0"/>
                <w:sz w:val="28"/>
                <w:szCs w:val="28"/>
              </w:rPr>
              <w:t>1</w:t>
            </w:r>
          </w:p>
        </w:tc>
        <w:tc>
          <w:tcPr>
            <w:tcW w:w="1494" w:type="dxa"/>
            <w:tcBorders>
              <w:top w:val="single" w:sz="4" w:space="0" w:color="auto"/>
              <w:left w:val="single" w:sz="8" w:space="0" w:color="auto"/>
              <w:bottom w:val="single" w:sz="8" w:space="0" w:color="000000"/>
              <w:right w:val="single" w:sz="8" w:space="0" w:color="auto"/>
            </w:tcBorders>
            <w:vAlign w:val="center"/>
          </w:tcPr>
          <w:p w:rsidR="00090A59" w:rsidRDefault="00090A59" w:rsidP="000D4684">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w:t>
            </w:r>
          </w:p>
        </w:tc>
        <w:tc>
          <w:tcPr>
            <w:tcW w:w="979" w:type="dxa"/>
            <w:tcBorders>
              <w:top w:val="single" w:sz="4" w:space="0" w:color="auto"/>
              <w:left w:val="single" w:sz="8" w:space="0" w:color="auto"/>
              <w:bottom w:val="single" w:sz="4" w:space="0" w:color="auto"/>
              <w:right w:val="single" w:sz="8" w:space="0" w:color="auto"/>
            </w:tcBorders>
            <w:vAlign w:val="center"/>
          </w:tcPr>
          <w:p w:rsidR="00090A59" w:rsidRDefault="00D403FD" w:rsidP="000D4684">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sz w:val="28"/>
                <w:szCs w:val="28"/>
              </w:rPr>
              <w:t>5</w:t>
            </w:r>
            <w:r w:rsidR="00090A59">
              <w:rPr>
                <w:rFonts w:ascii="仿宋_GB2312" w:eastAsia="仿宋_GB2312" w:hAnsi="仿宋_GB2312" w:cs="仿宋_GB2312" w:hint="eastAsia"/>
                <w:sz w:val="28"/>
                <w:szCs w:val="28"/>
              </w:rPr>
              <w:t>0</w:t>
            </w:r>
          </w:p>
        </w:tc>
        <w:tc>
          <w:tcPr>
            <w:tcW w:w="3714" w:type="dxa"/>
            <w:tcBorders>
              <w:top w:val="nil"/>
              <w:left w:val="nil"/>
              <w:bottom w:val="single" w:sz="4"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综合评分法中的价格</w:t>
            </w:r>
            <w:proofErr w:type="gramStart"/>
            <w:r>
              <w:rPr>
                <w:rFonts w:ascii="仿宋_GB2312" w:eastAsia="仿宋_GB2312" w:hAnsi="仿宋_GB2312" w:cs="仿宋_GB2312" w:hint="eastAsia"/>
                <w:sz w:val="28"/>
                <w:szCs w:val="28"/>
              </w:rPr>
              <w:t>分统一</w:t>
            </w:r>
            <w:proofErr w:type="gramEnd"/>
            <w:r>
              <w:rPr>
                <w:rFonts w:ascii="仿宋_GB2312" w:eastAsia="仿宋_GB2312" w:hAnsi="仿宋_GB2312" w:cs="仿宋_GB2312" w:hint="eastAsia"/>
                <w:sz w:val="28"/>
                <w:szCs w:val="28"/>
              </w:rPr>
              <w:t>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hint="eastAsia"/>
                <w:sz w:val="28"/>
                <w:szCs w:val="28"/>
              </w:rPr>
              <w:t>分统一</w:t>
            </w:r>
            <w:proofErr w:type="gramEnd"/>
            <w:r>
              <w:rPr>
                <w:rFonts w:ascii="仿宋_GB2312" w:eastAsia="仿宋_GB2312" w:hAnsi="仿宋_GB2312" w:cs="仿宋_GB2312" w:hint="eastAsia"/>
                <w:sz w:val="28"/>
                <w:szCs w:val="28"/>
              </w:rPr>
              <w:t>按照下列公式计算：</w:t>
            </w:r>
          </w:p>
          <w:p w:rsidR="00090A59" w:rsidRDefault="00090A59" w:rsidP="00090A59">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投标报价得分=(评标基准价／投标报价)×</w:t>
            </w:r>
            <w:r w:rsidR="00D403FD">
              <w:rPr>
                <w:rFonts w:ascii="仿宋_GB2312" w:eastAsia="仿宋_GB2312" w:hAnsi="仿宋_GB2312" w:cs="仿宋_GB2312"/>
                <w:sz w:val="28"/>
                <w:szCs w:val="28"/>
              </w:rPr>
              <w:t>5</w:t>
            </w:r>
            <w:r>
              <w:rPr>
                <w:rFonts w:ascii="仿宋_GB2312" w:eastAsia="仿宋_GB2312" w:hAnsi="仿宋_GB2312" w:cs="仿宋_GB2312" w:hint="eastAsia"/>
                <w:sz w:val="28"/>
                <w:szCs w:val="28"/>
              </w:rPr>
              <w:t>0</w:t>
            </w:r>
          </w:p>
        </w:tc>
        <w:tc>
          <w:tcPr>
            <w:tcW w:w="2268" w:type="dxa"/>
            <w:tcBorders>
              <w:top w:val="nil"/>
              <w:left w:val="nil"/>
              <w:bottom w:val="single" w:sz="4" w:space="0" w:color="auto"/>
              <w:right w:val="single" w:sz="8" w:space="0" w:color="auto"/>
            </w:tcBorders>
            <w:vAlign w:val="center"/>
          </w:tcPr>
          <w:p w:rsidR="00090A59" w:rsidRDefault="00090A59" w:rsidP="000D4684">
            <w:pPr>
              <w:spacing w:line="400" w:lineRule="exact"/>
              <w:ind w:left="-38"/>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小微企业（监狱企业视同小微企业）价格扣除等政策评分按照本招标文件投标须知前附表规定执行。</w:t>
            </w:r>
          </w:p>
        </w:tc>
      </w:tr>
      <w:tr w:rsidR="00090A59" w:rsidTr="000D4684">
        <w:trPr>
          <w:trHeight w:val="1305"/>
        </w:trPr>
        <w:tc>
          <w:tcPr>
            <w:tcW w:w="916" w:type="dxa"/>
            <w:tcBorders>
              <w:top w:val="nil"/>
              <w:left w:val="single" w:sz="8" w:space="0" w:color="auto"/>
              <w:bottom w:val="single" w:sz="8" w:space="0" w:color="000000"/>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2</w:t>
            </w:r>
          </w:p>
        </w:tc>
        <w:tc>
          <w:tcPr>
            <w:tcW w:w="1494" w:type="dxa"/>
            <w:tcBorders>
              <w:top w:val="nil"/>
              <w:left w:val="nil"/>
              <w:bottom w:val="single" w:sz="4"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技术配置</w:t>
            </w:r>
          </w:p>
        </w:tc>
        <w:tc>
          <w:tcPr>
            <w:tcW w:w="979" w:type="dxa"/>
            <w:tcBorders>
              <w:top w:val="single" w:sz="4" w:space="0" w:color="auto"/>
              <w:left w:val="single" w:sz="8" w:space="0" w:color="auto"/>
              <w:bottom w:val="single" w:sz="4" w:space="0" w:color="auto"/>
              <w:right w:val="single" w:sz="8" w:space="0" w:color="auto"/>
            </w:tcBorders>
            <w:vAlign w:val="center"/>
          </w:tcPr>
          <w:p w:rsidR="00090A59" w:rsidRDefault="00D403FD"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15</w:t>
            </w:r>
          </w:p>
        </w:tc>
        <w:tc>
          <w:tcPr>
            <w:tcW w:w="3714" w:type="dxa"/>
            <w:tcBorders>
              <w:top w:val="single" w:sz="4" w:space="0" w:color="auto"/>
              <w:left w:val="single" w:sz="8" w:space="0" w:color="auto"/>
              <w:bottom w:val="single" w:sz="8" w:space="0" w:color="000000"/>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完全满足招标规格的得</w:t>
            </w:r>
            <w:r w:rsidR="00D403FD">
              <w:rPr>
                <w:rFonts w:ascii="仿宋_GB2312" w:eastAsia="仿宋_GB2312" w:hAnsi="仿宋_GB2312" w:cs="仿宋_GB2312"/>
                <w:sz w:val="28"/>
                <w:szCs w:val="28"/>
              </w:rPr>
              <w:t>15</w:t>
            </w:r>
            <w:r>
              <w:rPr>
                <w:rFonts w:ascii="仿宋_GB2312" w:eastAsia="仿宋_GB2312" w:hAnsi="仿宋_GB2312" w:cs="仿宋_GB2312" w:hint="eastAsia"/>
                <w:sz w:val="28"/>
                <w:szCs w:val="28"/>
              </w:rPr>
              <w:t>分，有一项负偏离扣1分，扣完为止。</w:t>
            </w:r>
          </w:p>
        </w:tc>
        <w:tc>
          <w:tcPr>
            <w:tcW w:w="2268" w:type="dxa"/>
            <w:tcBorders>
              <w:top w:val="single" w:sz="4" w:space="0" w:color="auto"/>
              <w:left w:val="single" w:sz="8" w:space="0" w:color="auto"/>
              <w:bottom w:val="single" w:sz="8" w:space="0" w:color="000000"/>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以投标文件为准</w:t>
            </w:r>
          </w:p>
        </w:tc>
      </w:tr>
      <w:tr w:rsidR="00090A59" w:rsidTr="000D4684">
        <w:trPr>
          <w:trHeight w:val="988"/>
        </w:trPr>
        <w:tc>
          <w:tcPr>
            <w:tcW w:w="916" w:type="dxa"/>
            <w:tcBorders>
              <w:top w:val="nil"/>
              <w:left w:val="single" w:sz="8" w:space="0" w:color="auto"/>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3</w:t>
            </w:r>
          </w:p>
        </w:tc>
        <w:tc>
          <w:tcPr>
            <w:tcW w:w="1494" w:type="dxa"/>
            <w:tcBorders>
              <w:top w:val="single" w:sz="4" w:space="0" w:color="auto"/>
              <w:left w:val="nil"/>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业绩</w:t>
            </w:r>
          </w:p>
        </w:tc>
        <w:tc>
          <w:tcPr>
            <w:tcW w:w="979" w:type="dxa"/>
            <w:tcBorders>
              <w:top w:val="single" w:sz="4" w:space="0" w:color="auto"/>
              <w:left w:val="nil"/>
              <w:bottom w:val="single" w:sz="8" w:space="0" w:color="auto"/>
              <w:right w:val="single" w:sz="8" w:space="0" w:color="auto"/>
            </w:tcBorders>
            <w:vAlign w:val="center"/>
          </w:tcPr>
          <w:p w:rsidR="00090A59" w:rsidRDefault="00D403FD"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3714" w:type="dxa"/>
            <w:tcBorders>
              <w:top w:val="nil"/>
              <w:left w:val="nil"/>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投标人提供自2018年以来类似高校项目业绩，每提供1个类似业绩得</w:t>
            </w:r>
            <w:r w:rsidR="00C719FE">
              <w:rPr>
                <w:rFonts w:ascii="仿宋_GB2312" w:eastAsia="仿宋_GB2312" w:hAnsi="仿宋_GB2312" w:cs="仿宋_GB2312"/>
                <w:sz w:val="28"/>
                <w:szCs w:val="28"/>
              </w:rPr>
              <w:t>1</w:t>
            </w:r>
            <w:r>
              <w:rPr>
                <w:rFonts w:ascii="仿宋_GB2312" w:eastAsia="仿宋_GB2312" w:hAnsi="仿宋_GB2312" w:cs="仿宋_GB2312" w:hint="eastAsia"/>
                <w:sz w:val="28"/>
                <w:szCs w:val="28"/>
              </w:rPr>
              <w:t>分，最高得</w:t>
            </w:r>
            <w:r w:rsidR="00C719FE">
              <w:rPr>
                <w:rFonts w:ascii="仿宋_GB2312" w:eastAsia="仿宋_GB2312" w:hAnsi="仿宋_GB2312" w:cs="仿宋_GB2312"/>
                <w:sz w:val="28"/>
                <w:szCs w:val="28"/>
              </w:rPr>
              <w:t>5</w:t>
            </w:r>
            <w:r>
              <w:rPr>
                <w:rFonts w:ascii="仿宋_GB2312" w:eastAsia="仿宋_GB2312" w:hAnsi="仿宋_GB2312" w:cs="仿宋_GB2312" w:hint="eastAsia"/>
                <w:sz w:val="28"/>
                <w:szCs w:val="28"/>
              </w:rPr>
              <w:t>分，未提供不得分。</w:t>
            </w:r>
          </w:p>
        </w:tc>
        <w:tc>
          <w:tcPr>
            <w:tcW w:w="2268" w:type="dxa"/>
            <w:tcBorders>
              <w:top w:val="nil"/>
              <w:left w:val="nil"/>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注：提供项目合同或中标通知书复印件，加盖投标人公章。</w:t>
            </w:r>
          </w:p>
        </w:tc>
      </w:tr>
      <w:tr w:rsidR="00090A59" w:rsidTr="000D4684">
        <w:trPr>
          <w:trHeight w:val="988"/>
        </w:trPr>
        <w:tc>
          <w:tcPr>
            <w:tcW w:w="916" w:type="dxa"/>
            <w:tcBorders>
              <w:top w:val="nil"/>
              <w:left w:val="single" w:sz="8" w:space="0" w:color="auto"/>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4</w:t>
            </w:r>
          </w:p>
        </w:tc>
        <w:tc>
          <w:tcPr>
            <w:tcW w:w="1494" w:type="dxa"/>
            <w:tcBorders>
              <w:top w:val="single" w:sz="4" w:space="0" w:color="auto"/>
              <w:left w:val="nil"/>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交货实施方案和售后服务</w:t>
            </w:r>
          </w:p>
        </w:tc>
        <w:tc>
          <w:tcPr>
            <w:tcW w:w="979" w:type="dxa"/>
            <w:tcBorders>
              <w:top w:val="single" w:sz="4" w:space="0" w:color="auto"/>
              <w:left w:val="nil"/>
              <w:bottom w:val="single" w:sz="8" w:space="0" w:color="auto"/>
              <w:right w:val="single" w:sz="8" w:space="0" w:color="auto"/>
            </w:tcBorders>
            <w:vAlign w:val="center"/>
          </w:tcPr>
          <w:p w:rsidR="00090A59" w:rsidRDefault="00D403FD"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25</w:t>
            </w:r>
          </w:p>
        </w:tc>
        <w:tc>
          <w:tcPr>
            <w:tcW w:w="3714" w:type="dxa"/>
            <w:tcBorders>
              <w:top w:val="nil"/>
              <w:left w:val="nil"/>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供应商需提供</w:t>
            </w:r>
            <w:r w:rsidR="0090622C">
              <w:rPr>
                <w:rFonts w:ascii="仿宋_GB2312" w:eastAsia="仿宋_GB2312" w:hAnsi="仿宋_GB2312" w:cs="仿宋_GB2312" w:hint="eastAsia"/>
                <w:sz w:val="28"/>
                <w:szCs w:val="28"/>
              </w:rPr>
              <w:t>交货与</w:t>
            </w:r>
            <w:r>
              <w:rPr>
                <w:rFonts w:ascii="仿宋_GB2312" w:eastAsia="仿宋_GB2312" w:hAnsi="仿宋_GB2312" w:cs="仿宋_GB2312" w:hint="eastAsia"/>
                <w:sz w:val="28"/>
                <w:szCs w:val="28"/>
              </w:rPr>
              <w:t>售后服务方案，内容应包括但不限于：响应时间、</w:t>
            </w:r>
            <w:r w:rsidR="00CA3FB4">
              <w:rPr>
                <w:rFonts w:ascii="仿宋_GB2312" w:eastAsia="仿宋_GB2312" w:hAnsi="仿宋_GB2312" w:cs="仿宋_GB2312" w:hint="eastAsia"/>
                <w:sz w:val="28"/>
                <w:szCs w:val="28"/>
              </w:rPr>
              <w:t>货物配送、</w:t>
            </w:r>
            <w:r>
              <w:rPr>
                <w:rFonts w:ascii="仿宋_GB2312" w:eastAsia="仿宋_GB2312" w:hAnsi="仿宋_GB2312" w:cs="仿宋_GB2312" w:hint="eastAsia"/>
                <w:sz w:val="28"/>
                <w:szCs w:val="28"/>
              </w:rPr>
              <w:t>固定售后服务人员</w:t>
            </w:r>
            <w:r w:rsidR="0090622C">
              <w:rPr>
                <w:rFonts w:ascii="仿宋_GB2312" w:eastAsia="仿宋_GB2312" w:hAnsi="仿宋_GB2312" w:cs="仿宋_GB2312" w:hint="eastAsia"/>
                <w:sz w:val="28"/>
                <w:szCs w:val="28"/>
              </w:rPr>
              <w:t>、备用件提供、保修期内外售后服务承诺</w:t>
            </w:r>
            <w:r>
              <w:rPr>
                <w:rFonts w:ascii="仿宋_GB2312" w:eastAsia="仿宋_GB2312" w:hAnsi="仿宋_GB2312" w:cs="仿宋_GB2312" w:hint="eastAsia"/>
                <w:sz w:val="28"/>
                <w:szCs w:val="28"/>
              </w:rPr>
              <w:t>等就方案内容进行综合</w:t>
            </w:r>
            <w:r>
              <w:rPr>
                <w:rFonts w:ascii="仿宋_GB2312" w:eastAsia="仿宋_GB2312" w:hAnsi="仿宋_GB2312" w:cs="仿宋_GB2312" w:hint="eastAsia"/>
                <w:sz w:val="28"/>
                <w:szCs w:val="28"/>
              </w:rPr>
              <w:lastRenderedPageBreak/>
              <w:t>评述，满分</w:t>
            </w:r>
            <w:r w:rsidR="00C719FE">
              <w:rPr>
                <w:rFonts w:ascii="仿宋_GB2312" w:eastAsia="仿宋_GB2312" w:hAnsi="仿宋_GB2312" w:cs="仿宋_GB2312"/>
                <w:sz w:val="28"/>
                <w:szCs w:val="28"/>
              </w:rPr>
              <w:t>25</w:t>
            </w:r>
            <w:r>
              <w:rPr>
                <w:rFonts w:ascii="仿宋_GB2312" w:eastAsia="仿宋_GB2312" w:hAnsi="仿宋_GB2312" w:cs="仿宋_GB2312" w:hint="eastAsia"/>
                <w:sz w:val="28"/>
                <w:szCs w:val="28"/>
              </w:rPr>
              <w:t>分。</w:t>
            </w:r>
          </w:p>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若因供应商提供的方案描述不全面导致项目售后实施的过程中存在隐患的或供应商提供的内容针对性不强的或方案内容在可行性，科学性等方面存在不足的，每有一项扣</w:t>
            </w:r>
            <w:r w:rsidR="0090622C">
              <w:rPr>
                <w:rFonts w:ascii="仿宋_GB2312" w:eastAsia="仿宋_GB2312" w:hAnsi="仿宋_GB2312" w:cs="仿宋_GB2312"/>
                <w:sz w:val="28"/>
                <w:szCs w:val="28"/>
              </w:rPr>
              <w:t>5</w:t>
            </w:r>
            <w:r>
              <w:rPr>
                <w:rFonts w:ascii="仿宋_GB2312" w:eastAsia="仿宋_GB2312" w:hAnsi="仿宋_GB2312" w:cs="仿宋_GB2312" w:hint="eastAsia"/>
                <w:sz w:val="28"/>
                <w:szCs w:val="28"/>
              </w:rPr>
              <w:t>分，扣完为止。</w:t>
            </w:r>
          </w:p>
        </w:tc>
        <w:tc>
          <w:tcPr>
            <w:tcW w:w="2268" w:type="dxa"/>
            <w:tcBorders>
              <w:top w:val="nil"/>
              <w:left w:val="nil"/>
              <w:bottom w:val="single" w:sz="8"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p>
        </w:tc>
      </w:tr>
      <w:tr w:rsidR="00090A59" w:rsidTr="000D4684">
        <w:trPr>
          <w:trHeight w:val="1500"/>
        </w:trPr>
        <w:tc>
          <w:tcPr>
            <w:tcW w:w="916" w:type="dxa"/>
            <w:tcBorders>
              <w:top w:val="nil"/>
              <w:left w:val="single" w:sz="8" w:space="0" w:color="auto"/>
              <w:bottom w:val="single" w:sz="4"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5</w:t>
            </w:r>
          </w:p>
        </w:tc>
        <w:tc>
          <w:tcPr>
            <w:tcW w:w="1494" w:type="dxa"/>
            <w:tcBorders>
              <w:top w:val="nil"/>
              <w:left w:val="nil"/>
              <w:bottom w:val="single" w:sz="4" w:space="0" w:color="auto"/>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投标文件的规范性</w:t>
            </w:r>
          </w:p>
        </w:tc>
        <w:tc>
          <w:tcPr>
            <w:tcW w:w="979" w:type="dxa"/>
            <w:tcBorders>
              <w:top w:val="nil"/>
              <w:left w:val="single" w:sz="8" w:space="0" w:color="auto"/>
              <w:bottom w:val="single" w:sz="4" w:space="0" w:color="auto"/>
              <w:right w:val="single" w:sz="8" w:space="0" w:color="auto"/>
            </w:tcBorders>
            <w:vAlign w:val="center"/>
          </w:tcPr>
          <w:p w:rsidR="00090A59" w:rsidRDefault="00D403FD"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3714" w:type="dxa"/>
            <w:tcBorders>
              <w:top w:val="nil"/>
              <w:left w:val="single" w:sz="8" w:space="0" w:color="auto"/>
              <w:bottom w:val="single" w:sz="8" w:space="0" w:color="000000"/>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投标文件制作规范，没有细微偏差情形的得</w:t>
            </w:r>
            <w:r w:rsidR="00BD5899">
              <w:rPr>
                <w:rFonts w:ascii="仿宋_GB2312" w:eastAsia="仿宋_GB2312" w:hAnsi="仿宋_GB2312" w:cs="仿宋_GB2312"/>
                <w:sz w:val="28"/>
                <w:szCs w:val="28"/>
              </w:rPr>
              <w:t>5</w:t>
            </w:r>
            <w:r>
              <w:rPr>
                <w:rFonts w:ascii="仿宋_GB2312" w:eastAsia="仿宋_GB2312" w:hAnsi="仿宋_GB2312" w:cs="仿宋_GB2312" w:hint="eastAsia"/>
                <w:sz w:val="28"/>
                <w:szCs w:val="28"/>
              </w:rPr>
              <w:t>分；有一项细微偏差扣</w:t>
            </w:r>
            <w:r w:rsidR="00BD5899">
              <w:rPr>
                <w:rFonts w:ascii="仿宋_GB2312" w:eastAsia="仿宋_GB2312" w:hAnsi="仿宋_GB2312" w:cs="仿宋_GB2312"/>
                <w:sz w:val="28"/>
                <w:szCs w:val="28"/>
              </w:rPr>
              <w:t>1</w:t>
            </w:r>
            <w:r>
              <w:rPr>
                <w:rFonts w:ascii="仿宋_GB2312" w:eastAsia="仿宋_GB2312" w:hAnsi="仿宋_GB2312" w:cs="仿宋_GB2312" w:hint="eastAsia"/>
                <w:sz w:val="28"/>
                <w:szCs w:val="28"/>
              </w:rPr>
              <w:t>分，直至该项分值扣完为止。</w:t>
            </w:r>
          </w:p>
        </w:tc>
        <w:tc>
          <w:tcPr>
            <w:tcW w:w="2268" w:type="dxa"/>
            <w:tcBorders>
              <w:top w:val="nil"/>
              <w:left w:val="single" w:sz="8" w:space="0" w:color="auto"/>
              <w:bottom w:val="single" w:sz="8" w:space="0" w:color="000000"/>
              <w:right w:val="single" w:sz="8" w:space="0" w:color="auto"/>
            </w:tcBorders>
            <w:vAlign w:val="center"/>
          </w:tcPr>
          <w:p w:rsidR="00090A59" w:rsidRDefault="00090A59" w:rsidP="000D4684">
            <w:pPr>
              <w:spacing w:line="420" w:lineRule="exact"/>
              <w:jc w:val="center"/>
              <w:rPr>
                <w:rFonts w:ascii="仿宋_GB2312" w:eastAsia="仿宋_GB2312" w:hAnsi="仿宋_GB2312" w:cs="仿宋_GB2312"/>
                <w:sz w:val="28"/>
                <w:szCs w:val="28"/>
              </w:rPr>
            </w:pPr>
          </w:p>
        </w:tc>
      </w:tr>
    </w:tbl>
    <w:p w:rsidR="00F14788" w:rsidRPr="00BD5899" w:rsidRDefault="00F14788"/>
    <w:sectPr w:rsidR="00F14788" w:rsidRPr="00BD58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F62" w:rsidRDefault="00F66F62" w:rsidP="004B1032">
      <w:r>
        <w:separator/>
      </w:r>
    </w:p>
  </w:endnote>
  <w:endnote w:type="continuationSeparator" w:id="0">
    <w:p w:rsidR="00F66F62" w:rsidRDefault="00F66F62" w:rsidP="004B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F62" w:rsidRDefault="00F66F62" w:rsidP="004B1032">
      <w:r>
        <w:separator/>
      </w:r>
    </w:p>
  </w:footnote>
  <w:footnote w:type="continuationSeparator" w:id="0">
    <w:p w:rsidR="00F66F62" w:rsidRDefault="00F66F62" w:rsidP="004B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59"/>
    <w:rsid w:val="00090A59"/>
    <w:rsid w:val="001147E6"/>
    <w:rsid w:val="002176B7"/>
    <w:rsid w:val="004B1032"/>
    <w:rsid w:val="004E4E79"/>
    <w:rsid w:val="00847ADC"/>
    <w:rsid w:val="0090622C"/>
    <w:rsid w:val="00BD5899"/>
    <w:rsid w:val="00BE0DAB"/>
    <w:rsid w:val="00C0746C"/>
    <w:rsid w:val="00C719FE"/>
    <w:rsid w:val="00CA3FB4"/>
    <w:rsid w:val="00D403FD"/>
    <w:rsid w:val="00F14788"/>
    <w:rsid w:val="00F6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7A1F"/>
  <w15:chartTrackingRefBased/>
  <w15:docId w15:val="{9F67F5DB-FC09-481C-BD5A-9E7B40CA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90A5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nhideWhenUsed/>
    <w:qFormat/>
    <w:rsid w:val="00090A59"/>
    <w:pPr>
      <w:spacing w:beforeLines="50" w:afterLines="100" w:line="360" w:lineRule="auto"/>
      <w:ind w:firstLineChars="200" w:firstLine="480"/>
    </w:pPr>
    <w:rPr>
      <w:rFonts w:ascii="Arial" w:eastAsia="Times New Roman" w:hAnsi="Arial"/>
      <w:sz w:val="24"/>
    </w:rPr>
  </w:style>
  <w:style w:type="character" w:customStyle="1" w:styleId="a4">
    <w:name w:val="正文文本 字符"/>
    <w:basedOn w:val="a1"/>
    <w:link w:val="a0"/>
    <w:rsid w:val="00090A59"/>
    <w:rPr>
      <w:rFonts w:ascii="Arial" w:eastAsia="Times New Roman" w:hAnsi="Arial" w:cs="Times New Roman"/>
      <w:sz w:val="24"/>
      <w:szCs w:val="24"/>
    </w:rPr>
  </w:style>
  <w:style w:type="paragraph" w:styleId="a5">
    <w:name w:val="header"/>
    <w:basedOn w:val="a"/>
    <w:link w:val="a6"/>
    <w:uiPriority w:val="99"/>
    <w:unhideWhenUsed/>
    <w:rsid w:val="004B10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4B1032"/>
    <w:rPr>
      <w:rFonts w:ascii="Times New Roman" w:eastAsia="宋体" w:hAnsi="Times New Roman" w:cs="Times New Roman"/>
      <w:sz w:val="18"/>
      <w:szCs w:val="18"/>
    </w:rPr>
  </w:style>
  <w:style w:type="paragraph" w:styleId="a7">
    <w:name w:val="footer"/>
    <w:basedOn w:val="a"/>
    <w:link w:val="a8"/>
    <w:uiPriority w:val="99"/>
    <w:unhideWhenUsed/>
    <w:rsid w:val="004B1032"/>
    <w:pPr>
      <w:tabs>
        <w:tab w:val="center" w:pos="4153"/>
        <w:tab w:val="right" w:pos="8306"/>
      </w:tabs>
      <w:snapToGrid w:val="0"/>
      <w:jc w:val="left"/>
    </w:pPr>
    <w:rPr>
      <w:sz w:val="18"/>
      <w:szCs w:val="18"/>
    </w:rPr>
  </w:style>
  <w:style w:type="character" w:customStyle="1" w:styleId="a8">
    <w:name w:val="页脚 字符"/>
    <w:basedOn w:val="a1"/>
    <w:link w:val="a7"/>
    <w:uiPriority w:val="99"/>
    <w:rsid w:val="004B10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dc:creator>
  <cp:keywords/>
  <dc:description/>
  <cp:lastModifiedBy>THTFPC</cp:lastModifiedBy>
  <cp:revision>20</cp:revision>
  <dcterms:created xsi:type="dcterms:W3CDTF">2021-05-12T02:44:00Z</dcterms:created>
  <dcterms:modified xsi:type="dcterms:W3CDTF">2021-05-13T03:35:00Z</dcterms:modified>
</cp:coreProperties>
</file>