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200"/>
        <w:jc w:val="left"/>
        <w:rPr>
          <w:rFonts w:ascii="仿宋_GB2312" w:eastAsia="仿宋_GB2312" w:hAnsiTheme="majorEastAsia"/>
          <w:sz w:val="32"/>
          <w:szCs w:val="32"/>
        </w:rPr>
      </w:pPr>
      <w:r>
        <w:rPr>
          <w:rFonts w:hint="eastAsia" w:ascii="仿宋_GB2312" w:eastAsia="仿宋_GB2312" w:hAnsiTheme="majorEastAsia"/>
          <w:sz w:val="32"/>
          <w:szCs w:val="32"/>
        </w:rPr>
        <w:t>附件3:</w:t>
      </w:r>
    </w:p>
    <w:p>
      <w:pPr>
        <w:widowControl/>
        <w:adjustRightInd w:val="0"/>
        <w:snapToGrid w:val="0"/>
        <w:spacing w:after="200"/>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电梯维护保养合同</w:t>
      </w:r>
    </w:p>
    <w:p>
      <w:pPr>
        <w:widowControl/>
        <w:adjustRightInd w:val="0"/>
        <w:snapToGrid w:val="0"/>
        <w:spacing w:after="200"/>
        <w:rPr>
          <w:rFonts w:ascii="仿宋" w:hAnsi="仿宋" w:eastAsia="仿宋" w:cs="仿宋"/>
          <w:kern w:val="0"/>
          <w:sz w:val="32"/>
          <w:szCs w:val="32"/>
        </w:rPr>
      </w:pPr>
    </w:p>
    <w:p>
      <w:pPr>
        <w:widowControl/>
        <w:adjustRightInd w:val="0"/>
        <w:snapToGrid w:val="0"/>
        <w:spacing w:after="200"/>
        <w:rPr>
          <w:rFonts w:ascii="仿宋" w:hAnsi="仿宋" w:eastAsia="仿宋" w:cs="仿宋"/>
          <w:kern w:val="0"/>
          <w:sz w:val="32"/>
          <w:szCs w:val="32"/>
        </w:rPr>
      </w:pPr>
      <w:r>
        <w:rPr>
          <w:rFonts w:hint="eastAsia" w:ascii="仿宋" w:hAnsi="仿宋" w:eastAsia="仿宋" w:cs="仿宋"/>
          <w:kern w:val="0"/>
          <w:sz w:val="32"/>
          <w:szCs w:val="32"/>
        </w:rPr>
        <w:t xml:space="preserve">甲方：                              </w:t>
      </w:r>
    </w:p>
    <w:p>
      <w:pPr>
        <w:widowControl/>
        <w:adjustRightInd w:val="0"/>
        <w:snapToGrid w:val="0"/>
        <w:spacing w:after="200"/>
        <w:rPr>
          <w:rFonts w:ascii="仿宋" w:hAnsi="仿宋" w:eastAsia="仿宋" w:cs="仿宋"/>
          <w:kern w:val="0"/>
          <w:sz w:val="32"/>
          <w:szCs w:val="32"/>
        </w:rPr>
      </w:pPr>
      <w:r>
        <w:rPr>
          <w:rFonts w:hint="eastAsia" w:ascii="仿宋" w:hAnsi="仿宋" w:eastAsia="仿宋" w:cs="仿宋"/>
          <w:kern w:val="0"/>
          <w:sz w:val="32"/>
          <w:szCs w:val="32"/>
        </w:rPr>
        <w:t xml:space="preserve">乙方：                                    </w:t>
      </w:r>
    </w:p>
    <w:p>
      <w:pPr>
        <w:widowControl/>
        <w:adjustRightInd w:val="0"/>
        <w:snapToGrid w:val="0"/>
        <w:spacing w:after="200"/>
        <w:ind w:left="-210" w:leftChars="-100" w:firstLine="640" w:firstLineChars="200"/>
        <w:contextualSpacing/>
        <w:jc w:val="left"/>
        <w:rPr>
          <w:rFonts w:ascii="仿宋" w:hAnsi="仿宋" w:eastAsia="仿宋" w:cs="仿宋"/>
          <w:kern w:val="0"/>
          <w:sz w:val="32"/>
          <w:szCs w:val="32"/>
        </w:rPr>
      </w:pPr>
      <w:r>
        <w:rPr>
          <w:rFonts w:hint="eastAsia" w:ascii="仿宋" w:hAnsi="仿宋" w:eastAsia="仿宋" w:cs="仿宋"/>
          <w:kern w:val="0"/>
          <w:sz w:val="32"/>
          <w:szCs w:val="32"/>
        </w:rPr>
        <w:t>根据《中华人民共和国</w:t>
      </w:r>
      <w:r>
        <w:rPr>
          <w:rFonts w:hint="eastAsia" w:ascii="仿宋" w:hAnsi="仿宋" w:eastAsia="仿宋" w:cs="仿宋"/>
          <w:kern w:val="0"/>
          <w:sz w:val="32"/>
          <w:szCs w:val="32"/>
          <w:lang w:eastAsia="zh-Hans"/>
        </w:rPr>
        <w:t>民法典</w:t>
      </w:r>
      <w:r>
        <w:rPr>
          <w:rFonts w:hint="eastAsia" w:ascii="仿宋" w:hAnsi="仿宋" w:eastAsia="仿宋" w:cs="仿宋"/>
          <w:kern w:val="0"/>
          <w:sz w:val="32"/>
          <w:szCs w:val="32"/>
        </w:rPr>
        <w:t>》、《中华人民共和国特种设备安全法》、TSGT5002-2017维护保养规则、《四川省电梯安全监督管理办法》等有关规定，甲乙双方遵循平等、自愿、公平和诚实信用的原则，就电梯日常维护保养和维修事宜协商一致</w:t>
      </w:r>
      <w:r>
        <w:rPr>
          <w:rFonts w:ascii="仿宋" w:hAnsi="仿宋" w:eastAsia="仿宋" w:cs="仿宋"/>
          <w:kern w:val="0"/>
          <w:sz w:val="32"/>
          <w:szCs w:val="32"/>
        </w:rPr>
        <w:t>，</w:t>
      </w:r>
      <w:r>
        <w:rPr>
          <w:rFonts w:hint="eastAsia" w:ascii="仿宋" w:hAnsi="仿宋" w:eastAsia="仿宋" w:cs="仿宋"/>
          <w:kern w:val="0"/>
          <w:sz w:val="32"/>
          <w:szCs w:val="32"/>
        </w:rPr>
        <w:t xml:space="preserve">并订立本合同。 </w:t>
      </w:r>
    </w:p>
    <w:p>
      <w:pPr>
        <w:widowControl/>
        <w:adjustRightInd w:val="0"/>
        <w:snapToGrid w:val="0"/>
        <w:spacing w:after="200"/>
        <w:ind w:hanging="425"/>
        <w:jc w:val="left"/>
        <w:rPr>
          <w:rFonts w:ascii="仿宋" w:hAnsi="仿宋" w:eastAsia="仿宋" w:cs="仿宋"/>
          <w:kern w:val="0"/>
          <w:sz w:val="32"/>
          <w:szCs w:val="32"/>
        </w:rPr>
      </w:pPr>
      <w:r>
        <w:rPr>
          <w:rFonts w:hint="eastAsia" w:ascii="仿宋" w:hAnsi="仿宋" w:eastAsia="仿宋" w:cs="仿宋"/>
          <w:b/>
          <w:bCs/>
          <w:kern w:val="0"/>
          <w:sz w:val="32"/>
          <w:szCs w:val="32"/>
        </w:rPr>
        <w:t xml:space="preserve">   一、电梯型号:</w:t>
      </w:r>
    </w:p>
    <w:tbl>
      <w:tblPr>
        <w:tblStyle w:val="2"/>
        <w:tblW w:w="8378" w:type="dxa"/>
        <w:tblInd w:w="-1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31"/>
        <w:gridCol w:w="2127"/>
        <w:gridCol w:w="2685"/>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31" w:type="dxa"/>
            <w:tcBorders>
              <w:top w:val="single" w:color="auto" w:sz="8" w:space="0"/>
              <w:left w:val="single" w:color="auto" w:sz="8" w:space="0"/>
              <w:bottom w:val="single" w:color="auto" w:sz="8" w:space="0"/>
              <w:right w:val="single" w:color="auto" w:sz="8"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序号</w:t>
            </w:r>
          </w:p>
        </w:tc>
        <w:tc>
          <w:tcPr>
            <w:tcW w:w="21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电梯层/站/门</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电梯品牌型号</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台数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73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1</w:t>
            </w:r>
          </w:p>
        </w:tc>
        <w:tc>
          <w:tcPr>
            <w:tcW w:w="21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5/5</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港日FVF-N</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8" w:hRule="atLeast"/>
        </w:trPr>
        <w:tc>
          <w:tcPr>
            <w:tcW w:w="73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2</w:t>
            </w:r>
          </w:p>
        </w:tc>
        <w:tc>
          <w:tcPr>
            <w:tcW w:w="21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3/3</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港日FVF-N</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8" w:hRule="atLeast"/>
        </w:trPr>
        <w:tc>
          <w:tcPr>
            <w:tcW w:w="73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3</w:t>
            </w:r>
          </w:p>
        </w:tc>
        <w:tc>
          <w:tcPr>
            <w:tcW w:w="21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5/5</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通力KONE MiniSpace</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8" w:hRule="atLeast"/>
        </w:trPr>
        <w:tc>
          <w:tcPr>
            <w:tcW w:w="73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4</w:t>
            </w:r>
          </w:p>
        </w:tc>
        <w:tc>
          <w:tcPr>
            <w:tcW w:w="21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5/5</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日立HGE</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2</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58" w:hRule="atLeast"/>
        </w:trPr>
        <w:tc>
          <w:tcPr>
            <w:tcW w:w="73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5</w:t>
            </w:r>
          </w:p>
        </w:tc>
        <w:tc>
          <w:tcPr>
            <w:tcW w:w="212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5/5</w:t>
            </w:r>
          </w:p>
        </w:tc>
        <w:tc>
          <w:tcPr>
            <w:tcW w:w="268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日立LCA</w:t>
            </w:r>
          </w:p>
        </w:tc>
        <w:tc>
          <w:tcPr>
            <w:tcW w:w="283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after="200" w:line="360" w:lineRule="auto"/>
              <w:jc w:val="center"/>
              <w:rPr>
                <w:rFonts w:ascii="仿宋" w:hAnsi="仿宋" w:eastAsia="仿宋"/>
                <w:kern w:val="0"/>
                <w:sz w:val="30"/>
                <w:szCs w:val="30"/>
              </w:rPr>
            </w:pPr>
            <w:r>
              <w:rPr>
                <w:rFonts w:hint="eastAsia" w:ascii="仿宋" w:hAnsi="仿宋" w:eastAsia="仿宋"/>
                <w:kern w:val="0"/>
                <w:sz w:val="30"/>
                <w:szCs w:val="30"/>
              </w:rPr>
              <w:t>2</w:t>
            </w:r>
          </w:p>
        </w:tc>
      </w:tr>
    </w:tbl>
    <w:p>
      <w:pPr>
        <w:widowControl/>
        <w:adjustRightInd w:val="0"/>
        <w:snapToGrid w:val="0"/>
        <w:spacing w:after="200"/>
        <w:ind w:firstLine="630" w:firstLineChars="196"/>
        <w:contextualSpacing/>
        <w:jc w:val="left"/>
        <w:rPr>
          <w:rFonts w:ascii="仿宋" w:hAnsi="仿宋" w:eastAsia="仿宋"/>
          <w:b/>
          <w:bCs/>
          <w:kern w:val="0"/>
          <w:sz w:val="32"/>
          <w:szCs w:val="32"/>
        </w:rPr>
      </w:pPr>
      <w:r>
        <w:rPr>
          <w:rFonts w:hint="eastAsia" w:ascii="仿宋" w:hAnsi="仿宋" w:eastAsia="仿宋"/>
          <w:b/>
          <w:bCs/>
          <w:kern w:val="0"/>
          <w:sz w:val="32"/>
          <w:szCs w:val="32"/>
        </w:rPr>
        <w:t>二、合同期限：</w:t>
      </w:r>
    </w:p>
    <w:p>
      <w:pPr>
        <w:widowControl/>
        <w:adjustRightInd w:val="0"/>
        <w:snapToGrid w:val="0"/>
        <w:spacing w:after="200"/>
        <w:ind w:firstLine="627" w:firstLineChars="196"/>
        <w:contextualSpacing/>
        <w:jc w:val="left"/>
        <w:rPr>
          <w:rFonts w:ascii="仿宋" w:hAnsi="仿宋" w:eastAsia="仿宋"/>
          <w:kern w:val="0"/>
          <w:sz w:val="32"/>
          <w:szCs w:val="32"/>
        </w:rPr>
      </w:pPr>
      <w:r>
        <w:rPr>
          <w:rFonts w:hint="eastAsia" w:ascii="仿宋" w:hAnsi="仿宋" w:eastAsia="仿宋"/>
          <w:kern w:val="0"/>
          <w:sz w:val="32"/>
          <w:szCs w:val="32"/>
        </w:rPr>
        <w:t>自2021年12月16日至2022年12月15日；</w:t>
      </w:r>
    </w:p>
    <w:p>
      <w:pPr>
        <w:widowControl/>
        <w:adjustRightInd w:val="0"/>
        <w:snapToGrid w:val="0"/>
        <w:spacing w:after="200"/>
        <w:ind w:firstLine="630" w:firstLineChars="196"/>
        <w:contextualSpacing/>
        <w:jc w:val="left"/>
        <w:rPr>
          <w:rFonts w:ascii="仿宋" w:hAnsi="仿宋" w:eastAsia="仿宋"/>
          <w:kern w:val="0"/>
          <w:sz w:val="32"/>
          <w:szCs w:val="32"/>
        </w:rPr>
      </w:pPr>
      <w:r>
        <w:rPr>
          <w:rFonts w:hint="eastAsia" w:ascii="仿宋" w:hAnsi="仿宋" w:eastAsia="仿宋"/>
          <w:b/>
          <w:bCs/>
          <w:kern w:val="0"/>
          <w:sz w:val="32"/>
          <w:szCs w:val="32"/>
        </w:rPr>
        <w:t>三、合同金额</w:t>
      </w:r>
      <w:r>
        <w:rPr>
          <w:rFonts w:hint="eastAsia" w:ascii="仿宋" w:hAnsi="仿宋" w:eastAsia="仿宋"/>
          <w:kern w:val="0"/>
          <w:sz w:val="32"/>
          <w:szCs w:val="32"/>
        </w:rPr>
        <w:t>：   元/年</w:t>
      </w:r>
      <w:r>
        <w:rPr>
          <w:rFonts w:ascii="仿宋" w:hAnsi="仿宋" w:eastAsia="仿宋"/>
          <w:kern w:val="0"/>
          <w:sz w:val="32"/>
          <w:szCs w:val="32"/>
        </w:rPr>
        <w:t>。该合同总价已包括</w:t>
      </w:r>
      <w:r>
        <w:rPr>
          <w:rFonts w:hint="eastAsia" w:ascii="仿宋" w:hAnsi="仿宋" w:eastAsia="仿宋"/>
          <w:kern w:val="0"/>
          <w:sz w:val="32"/>
          <w:szCs w:val="32"/>
          <w:lang w:eastAsia="zh-Hans"/>
        </w:rPr>
        <w:t>维修保养</w:t>
      </w:r>
      <w:r>
        <w:rPr>
          <w:rFonts w:ascii="仿宋" w:hAnsi="仿宋" w:eastAsia="仿宋"/>
          <w:kern w:val="0"/>
          <w:sz w:val="32"/>
          <w:szCs w:val="32"/>
        </w:rPr>
        <w:t>服务等所有其他有关各项的含税费用。本合同执行期间合同总价不变，甲方无须另向乙方支付本合同规定之外的其他任何费用。</w:t>
      </w:r>
    </w:p>
    <w:p>
      <w:pPr>
        <w:widowControl/>
        <w:adjustRightInd w:val="0"/>
        <w:snapToGrid w:val="0"/>
        <w:spacing w:after="200"/>
        <w:ind w:left="614" w:leftChars="292" w:hanging="1"/>
        <w:contextualSpacing/>
        <w:jc w:val="left"/>
        <w:rPr>
          <w:rFonts w:ascii="仿宋" w:hAnsi="仿宋" w:eastAsia="仿宋"/>
          <w:kern w:val="0"/>
          <w:sz w:val="32"/>
          <w:szCs w:val="32"/>
        </w:rPr>
      </w:pPr>
      <w:r>
        <w:rPr>
          <w:rFonts w:hint="eastAsia" w:ascii="仿宋" w:hAnsi="仿宋" w:eastAsia="仿宋"/>
          <w:b/>
          <w:bCs/>
          <w:kern w:val="0"/>
          <w:sz w:val="32"/>
          <w:szCs w:val="32"/>
        </w:rPr>
        <w:t>四、费用支付时间</w:t>
      </w:r>
      <w:r>
        <w:rPr>
          <w:rFonts w:hint="eastAsia" w:ascii="仿宋" w:hAnsi="仿宋" w:eastAsia="仿宋"/>
          <w:kern w:val="0"/>
          <w:sz w:val="32"/>
          <w:szCs w:val="32"/>
        </w:rPr>
        <w:t>：</w:t>
      </w:r>
      <w:r>
        <w:rPr>
          <w:rFonts w:hint="eastAsia" w:ascii="仿宋" w:hAnsi="仿宋" w:eastAsia="仿宋"/>
          <w:kern w:val="0"/>
          <w:sz w:val="32"/>
          <w:szCs w:val="32"/>
          <w:lang w:eastAsia="zh-Hans"/>
        </w:rPr>
        <w:t>本合同签订后</w:t>
      </w:r>
      <w:r>
        <w:rPr>
          <w:rFonts w:ascii="仿宋" w:hAnsi="仿宋" w:eastAsia="仿宋"/>
          <w:kern w:val="0"/>
          <w:sz w:val="32"/>
          <w:szCs w:val="32"/>
          <w:lang w:eastAsia="zh-Hans"/>
        </w:rPr>
        <w:t>，</w:t>
      </w:r>
      <w:r>
        <w:rPr>
          <w:rFonts w:hint="eastAsia" w:ascii="仿宋" w:hAnsi="仿宋" w:eastAsia="仿宋"/>
          <w:kern w:val="0"/>
          <w:sz w:val="32"/>
          <w:szCs w:val="32"/>
        </w:rPr>
        <w:t>甲方每3个月向乙方支付一次费用，在</w:t>
      </w:r>
      <w:r>
        <w:rPr>
          <w:rFonts w:hint="eastAsia" w:ascii="仿宋" w:hAnsi="仿宋" w:eastAsia="仿宋"/>
          <w:kern w:val="0"/>
          <w:sz w:val="32"/>
          <w:szCs w:val="32"/>
          <w:lang w:eastAsia="zh-Hans"/>
        </w:rPr>
        <w:t>财政性资金正常下达的情况下且</w:t>
      </w:r>
      <w:r>
        <w:rPr>
          <w:rFonts w:hint="eastAsia" w:ascii="仿宋" w:hAnsi="仿宋" w:eastAsia="仿宋"/>
          <w:kern w:val="0"/>
          <w:sz w:val="32"/>
          <w:szCs w:val="32"/>
        </w:rPr>
        <w:t>收到乙方出具的正式发票后，于15个工作日内向乙方转账支付费用。</w:t>
      </w:r>
    </w:p>
    <w:p>
      <w:pPr>
        <w:widowControl/>
        <w:adjustRightInd w:val="0"/>
        <w:snapToGrid w:val="0"/>
        <w:spacing w:after="200"/>
        <w:ind w:firstLine="630" w:firstLineChars="196"/>
        <w:contextualSpacing/>
        <w:jc w:val="left"/>
        <w:rPr>
          <w:rFonts w:ascii="仿宋" w:hAnsi="仿宋" w:eastAsia="仿宋"/>
          <w:b/>
          <w:bCs/>
          <w:kern w:val="0"/>
          <w:sz w:val="32"/>
          <w:szCs w:val="32"/>
        </w:rPr>
      </w:pPr>
      <w:r>
        <w:rPr>
          <w:rFonts w:hint="eastAsia" w:ascii="仿宋" w:hAnsi="仿宋" w:eastAsia="仿宋"/>
          <w:b/>
          <w:bCs/>
          <w:kern w:val="0"/>
          <w:sz w:val="32"/>
          <w:szCs w:val="32"/>
        </w:rPr>
        <w:t>五、双方的权利与义务</w:t>
      </w:r>
    </w:p>
    <w:p>
      <w:pPr>
        <w:widowControl/>
        <w:adjustRightInd w:val="0"/>
        <w:snapToGrid w:val="0"/>
        <w:spacing w:after="200"/>
        <w:ind w:firstLine="480" w:firstLineChars="150"/>
        <w:contextualSpacing/>
        <w:jc w:val="left"/>
        <w:rPr>
          <w:rFonts w:ascii="仿宋" w:hAnsi="仿宋" w:eastAsia="仿宋"/>
          <w:kern w:val="0"/>
          <w:sz w:val="32"/>
          <w:szCs w:val="32"/>
        </w:rPr>
      </w:pPr>
      <w:r>
        <w:rPr>
          <w:rFonts w:hint="eastAsia" w:ascii="仿宋" w:hAnsi="仿宋" w:eastAsia="仿宋"/>
          <w:kern w:val="0"/>
          <w:sz w:val="32"/>
          <w:szCs w:val="32"/>
        </w:rPr>
        <w:t xml:space="preserve">（一）甲方的权利与义务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1.为乙方保养人员提供必要的工作便利和配合。</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2.缴付由政府管理部门规定的各种费用。因国家政策改变、新的技术规范对电梯增设的项目及部件费用。</w:t>
      </w:r>
    </w:p>
    <w:p>
      <w:pPr>
        <w:widowControl/>
        <w:adjustRightInd w:val="0"/>
        <w:snapToGrid w:val="0"/>
        <w:spacing w:after="200"/>
        <w:ind w:left="5" w:firstLine="691" w:firstLineChars="216"/>
        <w:contextualSpacing/>
        <w:jc w:val="left"/>
        <w:rPr>
          <w:rFonts w:ascii="仿宋" w:hAnsi="仿宋" w:eastAsia="仿宋"/>
          <w:kern w:val="0"/>
          <w:sz w:val="32"/>
          <w:szCs w:val="32"/>
        </w:rPr>
      </w:pPr>
      <w:r>
        <w:rPr>
          <w:rFonts w:hint="eastAsia" w:ascii="仿宋" w:hAnsi="仿宋" w:eastAsia="仿宋"/>
          <w:kern w:val="0"/>
          <w:sz w:val="32"/>
          <w:szCs w:val="32"/>
        </w:rPr>
        <w:t xml:space="preserve">3.有权监督乙方按照合同约定履行维护保养义务，发出故障通知或提出建议。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4.有权要求乙方确保电梯的正常运行。乙方的维护保养达不到合同约定及国家相关技术规范要求的维护保养标准或要求的，甲方在维护保养记录上签字时可以明确记录保养不达标的内容，并要求乙方立即进行整改。出现此情况乙方无改进</w:t>
      </w:r>
      <w:r>
        <w:rPr>
          <w:rFonts w:hint="eastAsia" w:ascii="仿宋" w:hAnsi="仿宋" w:eastAsia="仿宋"/>
          <w:kern w:val="0"/>
          <w:sz w:val="32"/>
          <w:szCs w:val="32"/>
          <w:lang w:eastAsia="zh-Hans"/>
        </w:rPr>
        <w:t>累计达</w:t>
      </w:r>
      <w:r>
        <w:rPr>
          <w:rFonts w:hint="eastAsia" w:ascii="仿宋" w:hAnsi="仿宋" w:eastAsia="仿宋"/>
          <w:kern w:val="0"/>
          <w:sz w:val="32"/>
          <w:szCs w:val="32"/>
          <w:u w:val="single"/>
        </w:rPr>
        <w:t>2</w:t>
      </w:r>
      <w:r>
        <w:rPr>
          <w:rFonts w:hint="eastAsia" w:ascii="仿宋" w:hAnsi="仿宋" w:eastAsia="仿宋"/>
          <w:kern w:val="0"/>
          <w:sz w:val="32"/>
          <w:szCs w:val="32"/>
          <w:u w:val="single"/>
          <w:lang w:eastAsia="zh-Hans"/>
        </w:rPr>
        <w:t>次以上</w:t>
      </w:r>
      <w:r>
        <w:rPr>
          <w:rFonts w:hint="eastAsia" w:ascii="仿宋" w:hAnsi="仿宋" w:eastAsia="仿宋"/>
          <w:kern w:val="0"/>
          <w:sz w:val="32"/>
          <w:szCs w:val="32"/>
        </w:rPr>
        <w:t>，甲方可提前一个月以书面形式通知乙方终止本合同，并要求乙方进行必要赔偿。</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5.电梯在发生故障或者困人，乙方接到报修及救援电话30分钟内到达现场并展开维修及救援，未在规定时间内到达现场，每次按500元做出处罚，因未及时维修及救援产生的经济损失和法律责任全部由乙方承担。</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6.甲方有重大活动或者有特殊情况，需要乙方专业技术人员值守时，乙方应按甲方的要求无条件支持和配合（不再支付任何费用）。</w:t>
      </w:r>
    </w:p>
    <w:p>
      <w:pPr>
        <w:widowControl/>
        <w:adjustRightInd w:val="0"/>
        <w:snapToGrid w:val="0"/>
        <w:spacing w:after="200"/>
        <w:ind w:firstLine="480" w:firstLineChars="150"/>
        <w:contextualSpacing/>
        <w:jc w:val="left"/>
        <w:rPr>
          <w:rFonts w:ascii="仿宋" w:hAnsi="仿宋" w:eastAsia="仿宋"/>
          <w:kern w:val="0"/>
          <w:sz w:val="32"/>
          <w:szCs w:val="32"/>
        </w:rPr>
      </w:pPr>
      <w:r>
        <w:rPr>
          <w:rFonts w:hint="eastAsia" w:ascii="仿宋" w:hAnsi="仿宋" w:eastAsia="仿宋"/>
          <w:kern w:val="0"/>
          <w:sz w:val="32"/>
          <w:szCs w:val="32"/>
        </w:rPr>
        <w:t>（二）乙方的权利与义务</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1.电梯维护保养必须达到或超过特种设备技术安全规范TSG T5002-2017《维护保养规则》等国家标准的要求。</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2.须制定例行（每十五日）维护计划表（日期、梯号），并按照计划日期于工作时间上午九时至十八时内（发生不可抗力情况例外）派员工对该电梯进行日常例行维护。</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3.应设立24小时维保值班电话</w:t>
      </w:r>
      <w:r>
        <w:rPr>
          <w:rFonts w:ascii="仿宋" w:hAnsi="仿宋" w:eastAsia="仿宋"/>
          <w:kern w:val="0"/>
          <w:sz w:val="32"/>
          <w:szCs w:val="32"/>
        </w:rPr>
        <w:t>（        ）</w:t>
      </w:r>
      <w:r>
        <w:rPr>
          <w:rFonts w:hint="eastAsia" w:ascii="仿宋" w:hAnsi="仿宋" w:eastAsia="仿宋"/>
          <w:kern w:val="0"/>
          <w:sz w:val="32"/>
          <w:szCs w:val="32"/>
        </w:rPr>
        <w:t xml:space="preserve">，接到故障通知后及时予以排除。接到电梯困人故障报告后，维修人员在30分钟内到达现场。接到非困人故障后，维修人员在30分钟内到达现场如不按规定时间到达现场造成一切后果由乙方承担。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 xml:space="preserve">4.每次例行保养或紧急维修后，提供有关维修保养或故障处理的《工作记录单》一式贰份，交甲方签字确认后存档。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5.须免费提供300元/台/年的常用易损件。</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 xml:space="preserve">6.在维修保养中，如发现电梯零部件磨损或损坏，更换零部件应得到甲方同意，待甲方签署了《电/扶梯零件报价单》后乙方才可进行更换。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 xml:space="preserve">7.协助当地质量技术监督局特种设备检验机构实施安全年检，协助甲方向质量技术监督局办理该电梯安全年检手续，以取得电梯使用合格证，年检费由甲方支付。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 xml:space="preserve">8.协助甲方建立完善电梯安全技术档案。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9.甲方自行提供的电梯易损件，</w:t>
      </w:r>
      <w:r>
        <w:rPr>
          <w:rFonts w:hint="eastAsia" w:ascii="仿宋" w:hAnsi="仿宋" w:eastAsia="仿宋"/>
          <w:kern w:val="0"/>
          <w:sz w:val="32"/>
          <w:szCs w:val="32"/>
          <w:lang w:eastAsia="zh-Hans"/>
        </w:rPr>
        <w:t>符合相应标准的</w:t>
      </w:r>
      <w:r>
        <w:rPr>
          <w:rFonts w:hint="eastAsia" w:ascii="仿宋" w:hAnsi="仿宋" w:eastAsia="仿宋"/>
          <w:kern w:val="0"/>
          <w:sz w:val="32"/>
          <w:szCs w:val="32"/>
        </w:rPr>
        <w:t xml:space="preserve">乙方有义务代为更换，但是不对其引发的质量故障承担责任。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 xml:space="preserve">10.若发现电梯损坏严重，可能危及乘客安全或可能对电梯造成更大的损坏时，乙方有权立即中止该电梯运行，但必须及时向甲方通报故障原因、可能造成的危险及维修方案、维修时间。乙方有义务尽快恢复该电梯的正常运行，但由此而导致的损失，乙方不承担责任。在乙方进行维修前，甲方若强行使用该电梯，由此造成的损失，应由甲方负责。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 xml:space="preserve">11.对甲方自行提供的非易损件，尤其是涉及到安全性能的专业配件，乙方有权拒绝代为更换，并不对因甲方自行更换引发的质量事故承担责任。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 xml:space="preserve">12.有权要求甲方提供维护保养所需的工作环境及相关资料。 </w:t>
      </w:r>
    </w:p>
    <w:p>
      <w:pPr>
        <w:widowControl/>
        <w:adjustRightInd w:val="0"/>
        <w:snapToGrid w:val="0"/>
        <w:spacing w:after="200"/>
        <w:ind w:left="-109" w:firstLine="640" w:firstLineChars="200"/>
        <w:contextualSpacing/>
        <w:jc w:val="left"/>
        <w:rPr>
          <w:rFonts w:hint="eastAsia" w:ascii="仿宋" w:hAnsi="仿宋" w:eastAsia="仿宋"/>
          <w:kern w:val="0"/>
          <w:sz w:val="32"/>
          <w:szCs w:val="32"/>
        </w:rPr>
      </w:pPr>
      <w:r>
        <w:rPr>
          <w:rFonts w:hint="eastAsia" w:ascii="仿宋" w:hAnsi="仿宋" w:eastAsia="仿宋"/>
          <w:kern w:val="0"/>
          <w:sz w:val="32"/>
          <w:szCs w:val="32"/>
        </w:rPr>
        <w:t xml:space="preserve"> 13.在进行电梯维护保养时须加强安全管理及防护，做好安全警示标志，乙方对电梯维护保养过程中所造成的包括乙方本身、甲方或任何第三方人员伤亡及财产损失承担全部经济责任和法律责任。</w:t>
      </w:r>
    </w:p>
    <w:p>
      <w:pPr>
        <w:widowControl/>
        <w:numPr>
          <w:ilvl w:val="0"/>
          <w:numId w:val="1"/>
        </w:numPr>
        <w:adjustRightInd w:val="0"/>
        <w:snapToGrid w:val="0"/>
        <w:spacing w:after="200"/>
        <w:ind w:left="239" w:leftChars="114" w:firstLine="395" w:firstLineChars="123"/>
        <w:contextualSpacing/>
        <w:jc w:val="left"/>
        <w:rPr>
          <w:rFonts w:hint="eastAsia" w:ascii="仿宋" w:hAnsi="仿宋" w:eastAsia="仿宋"/>
          <w:b/>
          <w:bCs/>
          <w:kern w:val="0"/>
          <w:sz w:val="32"/>
          <w:szCs w:val="32"/>
          <w:lang w:eastAsia="zh-Hans"/>
        </w:rPr>
      </w:pPr>
      <w:r>
        <w:rPr>
          <w:rFonts w:hint="eastAsia" w:ascii="仿宋" w:hAnsi="仿宋" w:eastAsia="仿宋"/>
          <w:b/>
          <w:bCs/>
          <w:kern w:val="0"/>
          <w:sz w:val="32"/>
          <w:szCs w:val="32"/>
          <w:lang w:eastAsia="zh-Hans"/>
        </w:rPr>
        <w:t>违约责任</w:t>
      </w:r>
    </w:p>
    <w:p>
      <w:pPr>
        <w:widowControl/>
        <w:adjustRightInd w:val="0"/>
        <w:snapToGrid w:val="0"/>
        <w:spacing w:after="200"/>
        <w:ind w:left="498" w:leftChars="237"/>
        <w:contextualSpacing/>
        <w:jc w:val="left"/>
        <w:rPr>
          <w:rFonts w:hint="eastAsia" w:ascii="仿宋" w:hAnsi="仿宋" w:eastAsia="仿宋"/>
          <w:kern w:val="0"/>
          <w:sz w:val="32"/>
          <w:szCs w:val="32"/>
          <w:lang w:eastAsia="zh-Hans"/>
        </w:rPr>
      </w:pPr>
      <w:r>
        <w:rPr>
          <w:rFonts w:ascii="仿宋" w:hAnsi="仿宋" w:eastAsia="仿宋"/>
          <w:kern w:val="0"/>
          <w:sz w:val="32"/>
          <w:szCs w:val="32"/>
          <w:lang w:eastAsia="zh-Hans"/>
        </w:rPr>
        <w:t>1</w:t>
      </w:r>
      <w:r>
        <w:rPr>
          <w:rFonts w:hint="eastAsia" w:ascii="仿宋" w:hAnsi="仿宋" w:eastAsia="仿宋"/>
          <w:kern w:val="0"/>
          <w:sz w:val="32"/>
          <w:szCs w:val="32"/>
          <w:lang w:eastAsia="zh-Hans"/>
        </w:rPr>
        <w:t>.甲方对乙方的处罚</w:t>
      </w:r>
      <w:r>
        <w:rPr>
          <w:rFonts w:ascii="仿宋" w:hAnsi="仿宋" w:eastAsia="仿宋"/>
          <w:kern w:val="0"/>
          <w:sz w:val="32"/>
          <w:szCs w:val="32"/>
          <w:lang w:eastAsia="zh-Hans"/>
        </w:rPr>
        <w:t>，</w:t>
      </w:r>
      <w:r>
        <w:rPr>
          <w:rFonts w:hint="eastAsia" w:ascii="仿宋" w:hAnsi="仿宋" w:eastAsia="仿宋"/>
          <w:kern w:val="0"/>
          <w:sz w:val="32"/>
          <w:szCs w:val="32"/>
          <w:lang w:eastAsia="zh-Hans"/>
        </w:rPr>
        <w:t>甲方有权在下一期应付费用中直接扣除</w:t>
      </w:r>
      <w:r>
        <w:rPr>
          <w:rFonts w:ascii="仿宋" w:hAnsi="仿宋" w:eastAsia="仿宋"/>
          <w:kern w:val="0"/>
          <w:sz w:val="32"/>
          <w:szCs w:val="32"/>
          <w:lang w:eastAsia="zh-Hans"/>
        </w:rPr>
        <w:t>。</w:t>
      </w:r>
    </w:p>
    <w:p>
      <w:pPr>
        <w:widowControl/>
        <w:adjustRightInd w:val="0"/>
        <w:snapToGrid w:val="0"/>
        <w:spacing w:after="200"/>
        <w:ind w:left="498" w:leftChars="237"/>
        <w:contextualSpacing/>
        <w:jc w:val="left"/>
        <w:rPr>
          <w:rFonts w:hint="eastAsia" w:ascii="仿宋" w:hAnsi="仿宋" w:eastAsia="仿宋"/>
          <w:kern w:val="0"/>
          <w:sz w:val="32"/>
          <w:szCs w:val="32"/>
          <w:lang w:eastAsia="zh-Hans"/>
        </w:rPr>
      </w:pPr>
      <w:r>
        <w:rPr>
          <w:rFonts w:ascii="仿宋" w:hAnsi="仿宋" w:eastAsia="仿宋"/>
          <w:kern w:val="0"/>
          <w:sz w:val="32"/>
          <w:szCs w:val="32"/>
          <w:lang w:eastAsia="zh-Hans"/>
        </w:rPr>
        <w:t>2.</w:t>
      </w:r>
      <w:r>
        <w:rPr>
          <w:rFonts w:hint="eastAsia" w:ascii="仿宋" w:hAnsi="仿宋" w:eastAsia="仿宋"/>
          <w:kern w:val="0"/>
          <w:sz w:val="32"/>
          <w:szCs w:val="32"/>
          <w:lang w:eastAsia="zh-Hans"/>
        </w:rPr>
        <w:t>乙方无正当理由终止本合同的</w:t>
      </w:r>
      <w:r>
        <w:rPr>
          <w:rFonts w:ascii="仿宋" w:hAnsi="仿宋" w:eastAsia="仿宋"/>
          <w:kern w:val="0"/>
          <w:sz w:val="32"/>
          <w:szCs w:val="32"/>
          <w:lang w:eastAsia="zh-Hans"/>
        </w:rPr>
        <w:t>，</w:t>
      </w:r>
      <w:r>
        <w:rPr>
          <w:rFonts w:hint="eastAsia" w:ascii="仿宋" w:hAnsi="仿宋" w:eastAsia="仿宋"/>
          <w:kern w:val="0"/>
          <w:sz w:val="32"/>
          <w:szCs w:val="32"/>
          <w:lang w:eastAsia="zh-Hans"/>
        </w:rPr>
        <w:t>应向甲方支付合同总额的</w:t>
      </w:r>
      <w:r>
        <w:rPr>
          <w:rFonts w:ascii="仿宋" w:hAnsi="仿宋" w:eastAsia="仿宋"/>
          <w:kern w:val="0"/>
          <w:sz w:val="32"/>
          <w:szCs w:val="32"/>
          <w:lang w:eastAsia="zh-Hans"/>
        </w:rPr>
        <w:t>20%</w:t>
      </w:r>
      <w:r>
        <w:rPr>
          <w:rFonts w:hint="eastAsia" w:ascii="仿宋" w:hAnsi="仿宋" w:eastAsia="仿宋"/>
          <w:kern w:val="0"/>
          <w:sz w:val="32"/>
          <w:szCs w:val="32"/>
          <w:lang w:eastAsia="zh-Hans"/>
        </w:rPr>
        <w:t>作为违约金</w:t>
      </w:r>
      <w:r>
        <w:rPr>
          <w:rFonts w:ascii="仿宋" w:hAnsi="仿宋" w:eastAsia="仿宋"/>
          <w:kern w:val="0"/>
          <w:sz w:val="32"/>
          <w:szCs w:val="32"/>
          <w:lang w:eastAsia="zh-Hans"/>
        </w:rPr>
        <w:t>。</w:t>
      </w:r>
    </w:p>
    <w:p>
      <w:pPr>
        <w:widowControl/>
        <w:adjustRightInd w:val="0"/>
        <w:snapToGrid w:val="0"/>
        <w:spacing w:after="200"/>
        <w:ind w:left="498" w:leftChars="237"/>
        <w:contextualSpacing/>
        <w:jc w:val="left"/>
        <w:rPr>
          <w:rFonts w:hint="eastAsia" w:ascii="仿宋" w:hAnsi="仿宋" w:eastAsia="仿宋"/>
          <w:b/>
          <w:bCs/>
          <w:kern w:val="0"/>
          <w:sz w:val="32"/>
          <w:szCs w:val="32"/>
          <w:lang w:eastAsia="zh-Hans"/>
        </w:rPr>
      </w:pPr>
    </w:p>
    <w:p>
      <w:pPr>
        <w:widowControl/>
        <w:adjustRightInd w:val="0"/>
        <w:snapToGrid w:val="0"/>
        <w:spacing w:after="200"/>
        <w:ind w:left="239" w:leftChars="114" w:firstLine="395" w:firstLineChars="123"/>
        <w:contextualSpacing/>
        <w:jc w:val="left"/>
        <w:rPr>
          <w:rFonts w:ascii="仿宋" w:hAnsi="仿宋" w:eastAsia="仿宋"/>
          <w:b/>
          <w:bCs/>
          <w:kern w:val="0"/>
          <w:sz w:val="32"/>
          <w:szCs w:val="32"/>
        </w:rPr>
      </w:pPr>
      <w:r>
        <w:rPr>
          <w:rFonts w:hint="eastAsia" w:ascii="仿宋" w:hAnsi="仿宋" w:eastAsia="仿宋"/>
          <w:b/>
          <w:bCs/>
          <w:kern w:val="0"/>
          <w:sz w:val="32"/>
          <w:szCs w:val="32"/>
          <w:lang w:eastAsia="zh-Hans"/>
        </w:rPr>
        <w:t>七</w:t>
      </w:r>
      <w:r>
        <w:rPr>
          <w:rFonts w:ascii="仿宋" w:hAnsi="仿宋" w:eastAsia="仿宋"/>
          <w:b/>
          <w:bCs/>
          <w:kern w:val="0"/>
          <w:sz w:val="32"/>
          <w:szCs w:val="32"/>
          <w:lang w:eastAsia="zh-Hans"/>
        </w:rPr>
        <w:t>、</w:t>
      </w:r>
      <w:r>
        <w:rPr>
          <w:rFonts w:hint="eastAsia" w:ascii="仿宋" w:hAnsi="仿宋" w:eastAsia="仿宋"/>
          <w:b/>
          <w:bCs/>
          <w:kern w:val="0"/>
          <w:sz w:val="32"/>
          <w:szCs w:val="32"/>
        </w:rPr>
        <w:t xml:space="preserve">不可抗力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 xml:space="preserve">（一）若任何非乙方所能控制原因，如国家政策变更、电压波动过大、罢工、内乱、战争、盗窃、恶意破坏、水浸、火灾、雷击、天灾、建筑物变形等导致电梯损坏、停机及其他一切损失，乙方概不负责。 </w:t>
      </w:r>
    </w:p>
    <w:p>
      <w:pPr>
        <w:widowControl/>
        <w:adjustRightInd w:val="0"/>
        <w:snapToGrid w:val="0"/>
        <w:spacing w:after="200"/>
        <w:ind w:firstLine="640" w:firstLineChars="200"/>
        <w:contextualSpacing/>
        <w:jc w:val="left"/>
        <w:rPr>
          <w:rFonts w:ascii="仿宋" w:hAnsi="仿宋" w:eastAsia="仿宋"/>
          <w:kern w:val="0"/>
          <w:sz w:val="32"/>
          <w:szCs w:val="32"/>
        </w:rPr>
      </w:pPr>
      <w:r>
        <w:rPr>
          <w:rFonts w:hint="eastAsia" w:ascii="仿宋" w:hAnsi="仿宋" w:eastAsia="仿宋"/>
          <w:kern w:val="0"/>
          <w:sz w:val="32"/>
          <w:szCs w:val="32"/>
        </w:rPr>
        <w:t>（二）因电梯发生意外事故所造成的经济损失及人员伤亡，由政府部门裁决的责任方负责。</w:t>
      </w:r>
    </w:p>
    <w:p>
      <w:pPr>
        <w:widowControl/>
        <w:adjustRightInd w:val="0"/>
        <w:snapToGrid w:val="0"/>
        <w:ind w:firstLine="643" w:firstLineChars="200"/>
        <w:jc w:val="left"/>
        <w:rPr>
          <w:rFonts w:ascii="仿宋_GB2312" w:hAnsi="仿宋" w:eastAsia="仿宋_GB2312" w:cs="仿宋"/>
          <w:kern w:val="0"/>
          <w:sz w:val="32"/>
          <w:szCs w:val="32"/>
        </w:rPr>
      </w:pPr>
      <w:r>
        <w:rPr>
          <w:rFonts w:hint="eastAsia" w:ascii="仿宋_GB2312" w:hAnsi="仿宋" w:eastAsia="仿宋_GB2312" w:cs="仿宋"/>
          <w:b/>
          <w:kern w:val="0"/>
          <w:sz w:val="32"/>
          <w:szCs w:val="32"/>
          <w:lang w:eastAsia="zh-Hans"/>
        </w:rPr>
        <w:t>八</w:t>
      </w:r>
      <w:r>
        <w:rPr>
          <w:rFonts w:hint="eastAsia" w:ascii="仿宋_GB2312" w:hAnsi="仿宋" w:eastAsia="仿宋_GB2312" w:cs="仿宋"/>
          <w:b/>
          <w:kern w:val="0"/>
          <w:sz w:val="32"/>
          <w:szCs w:val="32"/>
        </w:rPr>
        <w:t>、解决合同纠纷的方式</w:t>
      </w:r>
    </w:p>
    <w:p>
      <w:pPr>
        <w:widowControl/>
        <w:adjustRightInd w:val="0"/>
        <w:snapToGrid w:val="0"/>
        <w:ind w:firstLine="736" w:firstLineChars="230"/>
        <w:jc w:val="left"/>
        <w:rPr>
          <w:rFonts w:ascii="仿宋_GB2312" w:hAnsi="仿宋" w:eastAsia="仿宋_GB2312" w:cs="仿宋"/>
          <w:kern w:val="0"/>
          <w:sz w:val="32"/>
          <w:szCs w:val="32"/>
        </w:rPr>
      </w:pPr>
      <w:r>
        <w:rPr>
          <w:rFonts w:hint="eastAsia" w:ascii="仿宋_GB2312" w:hAnsi="仿宋" w:eastAsia="仿宋_GB2312" w:cs="仿宋"/>
          <w:kern w:val="0"/>
          <w:sz w:val="32"/>
          <w:szCs w:val="32"/>
        </w:rPr>
        <w:t>双方如发生纠纷，先行协商解决，协商不成，由德阳市旌阳区人民法院诉讼解决。</w:t>
      </w:r>
      <w:r>
        <w:rPr>
          <w:rFonts w:hint="eastAsia" w:ascii="仿宋_GB2312" w:hAnsi="仿宋" w:eastAsia="仿宋_GB2312" w:cs="仿宋"/>
          <w:kern w:val="0"/>
          <w:sz w:val="32"/>
          <w:szCs w:val="32"/>
          <w:lang w:eastAsia="zh-Hans"/>
        </w:rPr>
        <w:t>除判决另有规定外</w:t>
      </w:r>
      <w:r>
        <w:rPr>
          <w:rFonts w:ascii="仿宋_GB2312" w:hAnsi="仿宋" w:eastAsia="仿宋_GB2312" w:cs="仿宋"/>
          <w:kern w:val="0"/>
          <w:sz w:val="32"/>
          <w:szCs w:val="32"/>
          <w:lang w:eastAsia="zh-Hans"/>
        </w:rPr>
        <w:t>，</w:t>
      </w:r>
      <w:r>
        <w:rPr>
          <w:rFonts w:hint="eastAsia" w:ascii="仿宋_GB2312" w:hAnsi="仿宋" w:eastAsia="仿宋_GB2312" w:cs="仿宋"/>
          <w:kern w:val="0"/>
          <w:sz w:val="32"/>
          <w:szCs w:val="32"/>
          <w:lang w:eastAsia="zh-Hans"/>
        </w:rPr>
        <w:t>一切涉诉合理费用</w:t>
      </w:r>
      <w:r>
        <w:rPr>
          <w:rFonts w:ascii="仿宋_GB2312" w:hAnsi="仿宋" w:eastAsia="仿宋_GB2312" w:cs="仿宋"/>
          <w:kern w:val="0"/>
          <w:sz w:val="32"/>
          <w:szCs w:val="32"/>
          <w:lang w:eastAsia="zh-Hans"/>
        </w:rPr>
        <w:t>（</w:t>
      </w:r>
      <w:r>
        <w:rPr>
          <w:rFonts w:hint="eastAsia" w:ascii="仿宋_GB2312" w:hAnsi="仿宋" w:eastAsia="仿宋_GB2312" w:cs="仿宋"/>
          <w:kern w:val="0"/>
          <w:sz w:val="32"/>
          <w:szCs w:val="32"/>
          <w:lang w:eastAsia="zh-Hans"/>
        </w:rPr>
        <w:t>包括但不限于诉讼费</w:t>
      </w:r>
      <w:r>
        <w:rPr>
          <w:rFonts w:ascii="仿宋_GB2312" w:hAnsi="仿宋" w:eastAsia="仿宋_GB2312" w:cs="仿宋"/>
          <w:kern w:val="0"/>
          <w:sz w:val="32"/>
          <w:szCs w:val="32"/>
          <w:lang w:eastAsia="zh-Hans"/>
        </w:rPr>
        <w:t>、</w:t>
      </w:r>
      <w:r>
        <w:rPr>
          <w:rFonts w:hint="eastAsia" w:ascii="仿宋_GB2312" w:hAnsi="仿宋" w:eastAsia="仿宋_GB2312" w:cs="仿宋"/>
          <w:kern w:val="0"/>
          <w:sz w:val="32"/>
          <w:szCs w:val="32"/>
          <w:lang w:eastAsia="zh-Hans"/>
        </w:rPr>
        <w:t>律师费</w:t>
      </w:r>
      <w:r>
        <w:rPr>
          <w:rFonts w:ascii="仿宋_GB2312" w:hAnsi="仿宋" w:eastAsia="仿宋_GB2312" w:cs="仿宋"/>
          <w:kern w:val="0"/>
          <w:sz w:val="32"/>
          <w:szCs w:val="32"/>
          <w:lang w:eastAsia="zh-Hans"/>
        </w:rPr>
        <w:t>、</w:t>
      </w:r>
      <w:r>
        <w:rPr>
          <w:rFonts w:hint="eastAsia" w:ascii="仿宋_GB2312" w:hAnsi="仿宋" w:eastAsia="仿宋_GB2312" w:cs="仿宋"/>
          <w:kern w:val="0"/>
          <w:sz w:val="32"/>
          <w:szCs w:val="32"/>
          <w:lang w:eastAsia="zh-Hans"/>
        </w:rPr>
        <w:t>保全费</w:t>
      </w:r>
      <w:r>
        <w:rPr>
          <w:rFonts w:ascii="仿宋_GB2312" w:hAnsi="仿宋" w:eastAsia="仿宋_GB2312" w:cs="仿宋"/>
          <w:kern w:val="0"/>
          <w:sz w:val="32"/>
          <w:szCs w:val="32"/>
          <w:lang w:eastAsia="zh-Hans"/>
        </w:rPr>
        <w:t>）</w:t>
      </w:r>
      <w:r>
        <w:rPr>
          <w:rFonts w:hint="eastAsia" w:ascii="仿宋_GB2312" w:hAnsi="仿宋" w:eastAsia="仿宋_GB2312" w:cs="仿宋"/>
          <w:kern w:val="0"/>
          <w:sz w:val="32"/>
          <w:szCs w:val="32"/>
          <w:lang w:eastAsia="zh-Hans"/>
        </w:rPr>
        <w:t>均由违约方承担</w:t>
      </w:r>
      <w:r>
        <w:rPr>
          <w:rFonts w:ascii="仿宋_GB2312" w:hAnsi="仿宋" w:eastAsia="仿宋_GB2312" w:cs="仿宋"/>
          <w:kern w:val="0"/>
          <w:sz w:val="32"/>
          <w:szCs w:val="32"/>
          <w:lang w:eastAsia="zh-Hans"/>
        </w:rPr>
        <w:t>。</w:t>
      </w:r>
    </w:p>
    <w:p>
      <w:pPr>
        <w:widowControl/>
        <w:adjustRightInd w:val="0"/>
        <w:snapToGrid w:val="0"/>
        <w:ind w:firstLine="643" w:firstLineChars="200"/>
        <w:jc w:val="left"/>
        <w:rPr>
          <w:rFonts w:ascii="仿宋" w:hAnsi="仿宋" w:eastAsia="仿宋"/>
          <w:bCs/>
          <w:kern w:val="0"/>
          <w:sz w:val="32"/>
          <w:szCs w:val="32"/>
        </w:rPr>
      </w:pPr>
      <w:r>
        <w:rPr>
          <w:rFonts w:hint="eastAsia" w:ascii="仿宋_GB2312" w:hAnsi="仿宋" w:eastAsia="仿宋_GB2312" w:cs="仿宋"/>
          <w:b/>
          <w:kern w:val="0"/>
          <w:sz w:val="32"/>
          <w:szCs w:val="32"/>
          <w:lang w:eastAsia="zh-Hans"/>
        </w:rPr>
        <w:t>九</w:t>
      </w:r>
      <w:r>
        <w:rPr>
          <w:rFonts w:hint="eastAsia" w:ascii="仿宋_GB2312" w:hAnsi="仿宋" w:eastAsia="仿宋_GB2312" w:cs="仿宋"/>
          <w:b/>
          <w:kern w:val="0"/>
          <w:sz w:val="32"/>
          <w:szCs w:val="32"/>
        </w:rPr>
        <w:t>、</w:t>
      </w:r>
      <w:r>
        <w:rPr>
          <w:rFonts w:hint="eastAsia" w:ascii="仿宋_GB2312" w:hAnsi="仿宋" w:eastAsia="仿宋_GB2312" w:cs="仿宋"/>
          <w:bCs/>
          <w:kern w:val="0"/>
          <w:sz w:val="32"/>
          <w:szCs w:val="32"/>
        </w:rPr>
        <w:t>本合同一式叁份，</w:t>
      </w:r>
      <w:r>
        <w:rPr>
          <w:rFonts w:hint="eastAsia" w:ascii="仿宋" w:hAnsi="仿宋" w:eastAsia="仿宋"/>
          <w:bCs/>
          <w:kern w:val="0"/>
          <w:sz w:val="32"/>
          <w:szCs w:val="32"/>
        </w:rPr>
        <w:t>甲乙双方各执壹份，工质局壹份，由</w:t>
      </w:r>
      <w:r>
        <w:rPr>
          <w:rFonts w:hint="eastAsia" w:ascii="仿宋_GB2312" w:hAnsi="仿宋" w:eastAsia="仿宋_GB2312" w:cs="仿宋"/>
          <w:bCs/>
          <w:kern w:val="0"/>
          <w:sz w:val="32"/>
          <w:szCs w:val="32"/>
        </w:rPr>
        <w:t>甲乙双方</w:t>
      </w:r>
      <w:r>
        <w:rPr>
          <w:rFonts w:hint="eastAsia" w:ascii="仿宋_GB2312" w:hAnsi="仿宋" w:eastAsia="仿宋_GB2312" w:cs="仿宋"/>
          <w:bCs/>
          <w:kern w:val="0"/>
          <w:sz w:val="32"/>
          <w:szCs w:val="32"/>
          <w:lang w:eastAsia="zh-Hans"/>
        </w:rPr>
        <w:t>法定</w:t>
      </w:r>
      <w:r>
        <w:rPr>
          <w:rFonts w:hint="eastAsia" w:ascii="仿宋_GB2312" w:hAnsi="仿宋" w:eastAsia="仿宋_GB2312" w:cs="仿宋"/>
          <w:bCs/>
          <w:kern w:val="0"/>
          <w:sz w:val="32"/>
          <w:szCs w:val="32"/>
        </w:rPr>
        <w:t>代表人</w:t>
      </w:r>
      <w:r>
        <w:rPr>
          <w:rFonts w:hint="eastAsia" w:ascii="仿宋_GB2312" w:hAnsi="仿宋" w:eastAsia="仿宋_GB2312" w:cs="仿宋"/>
          <w:bCs/>
          <w:kern w:val="0"/>
          <w:sz w:val="32"/>
          <w:szCs w:val="32"/>
          <w:lang w:eastAsia="zh-Hans"/>
        </w:rPr>
        <w:t>或授权代表</w:t>
      </w:r>
      <w:r>
        <w:rPr>
          <w:rFonts w:hint="eastAsia" w:ascii="仿宋_GB2312" w:hAnsi="仿宋" w:eastAsia="仿宋_GB2312" w:cs="仿宋"/>
          <w:bCs/>
          <w:kern w:val="0"/>
          <w:sz w:val="32"/>
          <w:szCs w:val="32"/>
        </w:rPr>
        <w:t>签字，并加盖公章后合同生效。</w:t>
      </w:r>
    </w:p>
    <w:p/>
    <w:p>
      <w:pPr>
        <w:widowControl/>
        <w:adjustRightInd w:val="0"/>
        <w:snapToGrid w:val="0"/>
        <w:spacing w:after="200"/>
        <w:ind w:firstLine="643" w:firstLineChars="200"/>
        <w:contextualSpacing/>
        <w:jc w:val="left"/>
        <w:rPr>
          <w:rFonts w:ascii="仿宋" w:hAnsi="仿宋" w:eastAsia="仿宋"/>
          <w:b/>
          <w:bCs/>
          <w:kern w:val="0"/>
          <w:sz w:val="32"/>
          <w:szCs w:val="32"/>
        </w:rPr>
      </w:pPr>
    </w:p>
    <w:p>
      <w:pPr>
        <w:widowControl/>
        <w:adjustRightInd w:val="0"/>
        <w:snapToGrid w:val="0"/>
        <w:spacing w:after="200"/>
        <w:ind w:firstLine="320" w:firstLineChars="100"/>
        <w:contextualSpacing/>
        <w:jc w:val="left"/>
        <w:rPr>
          <w:rFonts w:ascii="仿宋" w:hAnsi="仿宋" w:eastAsia="仿宋"/>
          <w:kern w:val="0"/>
          <w:sz w:val="32"/>
          <w:szCs w:val="32"/>
        </w:rPr>
      </w:pPr>
    </w:p>
    <w:p>
      <w:pPr>
        <w:widowControl/>
        <w:adjustRightInd w:val="0"/>
        <w:snapToGrid w:val="0"/>
        <w:spacing w:after="200"/>
        <w:ind w:firstLine="640" w:firstLineChars="200"/>
        <w:contextualSpacing/>
        <w:jc w:val="left"/>
        <w:rPr>
          <w:rFonts w:ascii="仿宋" w:hAnsi="仿宋" w:eastAsia="仿宋"/>
          <w:kern w:val="0"/>
          <w:sz w:val="32"/>
          <w:szCs w:val="32"/>
        </w:rPr>
      </w:pPr>
    </w:p>
    <w:p>
      <w:pPr>
        <w:widowControl/>
        <w:adjustRightInd w:val="0"/>
        <w:snapToGrid w:val="0"/>
        <w:spacing w:after="200"/>
        <w:ind w:firstLine="640" w:firstLineChars="200"/>
        <w:contextualSpacing/>
        <w:jc w:val="left"/>
        <w:rPr>
          <w:rFonts w:ascii="仿宋" w:hAnsi="仿宋" w:eastAsia="仿宋"/>
          <w:kern w:val="0"/>
          <w:sz w:val="32"/>
          <w:szCs w:val="32"/>
        </w:rPr>
      </w:pPr>
    </w:p>
    <w:p>
      <w:pPr>
        <w:spacing w:after="200" w:line="520" w:lineRule="exact"/>
        <w:ind w:firstLine="320" w:firstLineChars="1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甲方（签章）：　　　　　　     乙方（签章）：</w:t>
      </w:r>
    </w:p>
    <w:p>
      <w:pPr>
        <w:spacing w:after="200" w:line="520" w:lineRule="exact"/>
        <w:ind w:firstLine="320" w:firstLineChars="100"/>
        <w:rPr>
          <w:rFonts w:ascii="仿宋_GB2312" w:hAnsi="仿宋_GB2312" w:eastAsia="仿宋_GB2312" w:cs="仿宋_GB2312"/>
          <w:color w:val="000000"/>
          <w:kern w:val="0"/>
          <w:sz w:val="32"/>
          <w:szCs w:val="32"/>
        </w:rPr>
      </w:pPr>
    </w:p>
    <w:p>
      <w:pPr>
        <w:spacing w:after="200" w:line="520" w:lineRule="exact"/>
        <w:ind w:firstLine="320" w:firstLineChars="1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法定代表（授权代表）：         法定代表（授权代表）：</w:t>
      </w:r>
    </w:p>
    <w:p>
      <w:pPr>
        <w:widowControl/>
        <w:adjustRightInd w:val="0"/>
        <w:snapToGrid w:val="0"/>
        <w:spacing w:line="440" w:lineRule="exact"/>
        <w:ind w:left="2049" w:leftChars="290" w:hanging="1440" w:hangingChars="450"/>
        <w:jc w:val="left"/>
        <w:rPr>
          <w:rFonts w:ascii="仿宋_GB2312" w:eastAsia="仿宋_GB2312" w:hAnsiTheme="majorEastAsia"/>
          <w:kern w:val="0"/>
          <w:sz w:val="32"/>
          <w:szCs w:val="32"/>
        </w:rPr>
      </w:pPr>
      <w:r>
        <w:rPr>
          <w:rFonts w:hint="eastAsia" w:ascii="仿宋_GB2312" w:hAnsi="仿宋_GB2312" w:eastAsia="仿宋_GB2312" w:cs="仿宋_GB2312"/>
          <w:color w:val="000000"/>
          <w:kern w:val="0"/>
          <w:sz w:val="32"/>
          <w:szCs w:val="32"/>
        </w:rPr>
        <w:t xml:space="preserve">签订日期：　 　            　 签订日期：　     </w:t>
      </w:r>
    </w:p>
    <w:p>
      <w:pPr>
        <w:widowControl/>
        <w:adjustRightInd w:val="0"/>
        <w:snapToGrid w:val="0"/>
        <w:spacing w:line="440" w:lineRule="exact"/>
        <w:ind w:left="2080" w:hanging="2080" w:hangingChars="650"/>
        <w:jc w:val="left"/>
        <w:rPr>
          <w:rFonts w:ascii="仿宋_GB2312" w:eastAsia="仿宋_GB2312" w:hAnsiTheme="majorEastAsia"/>
          <w:kern w:val="0"/>
          <w:sz w:val="32"/>
          <w:szCs w:val="32"/>
        </w:rPr>
      </w:pPr>
    </w:p>
    <w:p>
      <w:pPr>
        <w:widowControl/>
        <w:adjustRightInd w:val="0"/>
        <w:snapToGrid w:val="0"/>
        <w:spacing w:line="440" w:lineRule="exact"/>
        <w:ind w:left="2080" w:hanging="2080" w:hangingChars="650"/>
        <w:jc w:val="left"/>
        <w:rPr>
          <w:rFonts w:ascii="仿宋_GB2312" w:eastAsia="仿宋_GB2312" w:hAnsiTheme="majorEastAsia"/>
          <w:kern w:val="0"/>
          <w:sz w:val="32"/>
          <w:szCs w:val="32"/>
        </w:rPr>
      </w:pPr>
    </w:p>
    <w:p>
      <w:pPr>
        <w:widowControl/>
        <w:adjustRightInd w:val="0"/>
        <w:snapToGrid w:val="0"/>
        <w:spacing w:line="440" w:lineRule="exact"/>
        <w:ind w:left="2080" w:hanging="2080" w:hangingChars="650"/>
        <w:jc w:val="left"/>
        <w:rPr>
          <w:rFonts w:ascii="仿宋_GB2312" w:eastAsia="仿宋_GB2312" w:hAnsiTheme="majorEastAsia"/>
          <w:kern w:val="0"/>
          <w:sz w:val="32"/>
          <w:szCs w:val="32"/>
        </w:rPr>
      </w:pPr>
    </w:p>
    <w:p>
      <w:pPr>
        <w:spacing w:line="440" w:lineRule="exact"/>
        <w:ind w:left="2080" w:hanging="2080" w:hangingChars="650"/>
        <w:rPr>
          <w:rFonts w:ascii="仿宋_GB2312" w:eastAsia="仿宋_GB2312" w:hAnsiTheme="majorEastAsia"/>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974C70"/>
    <w:multiLevelType w:val="singleLevel"/>
    <w:tmpl w:val="61974C70"/>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9D2F88"/>
    <w:rsid w:val="7C9D2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2021-11-24T03:39:00Z</dcterms:created>
  <dc:creator>一介布衣</dc:creator>
  <cp:lastModifiedBy>一介布衣</cp:lastModifiedBy>
  <dcterms:modified xsi:type="dcterms:W3CDTF">2021-11-24T03:39:52Z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4D0D7ABC9EB1452AB1F1AE43D7601EA7</vt:lpwstr>
  </property>
</Properties>
</file>