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黑体" w:hAnsi="黑体" w:eastAsia="黑体" w:cs="黑体"/>
          <w:sz w:val="32"/>
          <w:szCs w:val="32"/>
          <w:lang w:val="en-US" w:eastAsia="zh-CN"/>
        </w:rPr>
      </w:pPr>
      <w:r>
        <w:rPr>
          <w:rFonts w:hint="eastAsia" w:ascii="黑体" w:hAnsi="黑体" w:eastAsia="黑体" w:cs="黑体"/>
          <w:sz w:val="32"/>
          <w:szCs w:val="32"/>
          <w:lang w:eastAsia="zh-CN"/>
        </w:rPr>
        <w:t>一、采购总体需求</w:t>
      </w:r>
      <w:r>
        <w:rPr>
          <w:rFonts w:hint="eastAsia" w:ascii="黑体" w:hAnsi="黑体" w:eastAsia="黑体" w:cs="黑体"/>
          <w:sz w:val="32"/>
          <w:szCs w:val="32"/>
          <w:lang w:val="en-US" w:eastAsia="zh-CN"/>
        </w:rPr>
        <w:t>/参数</w:t>
      </w:r>
    </w:p>
    <w:tbl>
      <w:tblPr>
        <w:tblStyle w:val="4"/>
        <w:tblW w:w="9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8"/>
        <w:gridCol w:w="2250"/>
        <w:gridCol w:w="3510"/>
        <w:gridCol w:w="2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1098"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序号</w:t>
            </w:r>
          </w:p>
        </w:tc>
        <w:tc>
          <w:tcPr>
            <w:tcW w:w="2250" w:type="dxa"/>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种类</w:t>
            </w:r>
          </w:p>
        </w:tc>
        <w:tc>
          <w:tcPr>
            <w:tcW w:w="3510" w:type="dxa"/>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包含设备</w:t>
            </w:r>
          </w:p>
        </w:tc>
        <w:tc>
          <w:tcPr>
            <w:tcW w:w="2661" w:type="dxa"/>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招标内容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jc w:val="center"/>
        </w:trPr>
        <w:tc>
          <w:tcPr>
            <w:tcW w:w="1098"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2250" w:type="dxa"/>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光学仪器类</w:t>
            </w:r>
          </w:p>
        </w:tc>
        <w:tc>
          <w:tcPr>
            <w:tcW w:w="3510" w:type="dxa"/>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显微镜、教学投影仪等</w:t>
            </w:r>
          </w:p>
        </w:tc>
        <w:tc>
          <w:tcPr>
            <w:tcW w:w="2661" w:type="dxa"/>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设备仪器故障检修、易损件与零部件更换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jc w:val="center"/>
        </w:trPr>
        <w:tc>
          <w:tcPr>
            <w:tcW w:w="1098"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2250" w:type="dxa"/>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分析仪器类</w:t>
            </w:r>
          </w:p>
        </w:tc>
        <w:tc>
          <w:tcPr>
            <w:tcW w:w="3510" w:type="dxa"/>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天平、水浴锅、离心机、暗箱式紫外分析仪等</w:t>
            </w:r>
          </w:p>
        </w:tc>
        <w:tc>
          <w:tcPr>
            <w:tcW w:w="2661" w:type="dxa"/>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设备仪器故障检修、易损件与零部件更换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jc w:val="center"/>
        </w:trPr>
        <w:tc>
          <w:tcPr>
            <w:tcW w:w="1098"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w:t>
            </w:r>
          </w:p>
        </w:tc>
        <w:tc>
          <w:tcPr>
            <w:tcW w:w="2250" w:type="dxa"/>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制冷设备类</w:t>
            </w:r>
          </w:p>
        </w:tc>
        <w:tc>
          <w:tcPr>
            <w:tcW w:w="3510" w:type="dxa"/>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冰箱、冰柜、超低温冰箱、医用冷藏箱等</w:t>
            </w:r>
          </w:p>
        </w:tc>
        <w:tc>
          <w:tcPr>
            <w:tcW w:w="2661" w:type="dxa"/>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设备仪器故障检修、易损件与零部件更换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1098"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w:t>
            </w:r>
          </w:p>
        </w:tc>
        <w:tc>
          <w:tcPr>
            <w:tcW w:w="2250" w:type="dxa"/>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其他设备</w:t>
            </w:r>
          </w:p>
        </w:tc>
        <w:tc>
          <w:tcPr>
            <w:tcW w:w="3510" w:type="dxa"/>
            <w:vAlign w:val="center"/>
          </w:tcPr>
          <w:p>
            <w:pPr>
              <w:jc w:val="center"/>
              <w:rPr>
                <w:rFonts w:hint="eastAsia" w:ascii="仿宋_GB2312" w:hAnsi="仿宋_GB2312" w:eastAsia="宋体"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循环水泵、打粉机、培养箱、干烤箱、高压蒸汽灭菌器、电热恒温红外干燥箱、药物溶出度仪、电泳仪、酸度计等</w:t>
            </w:r>
          </w:p>
        </w:tc>
        <w:tc>
          <w:tcPr>
            <w:tcW w:w="2661" w:type="dxa"/>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设备仪器故障检修、易损件与零部件更换</w:t>
            </w:r>
          </w:p>
        </w:tc>
      </w:tr>
    </w:tbl>
    <w:p>
      <w:pPr>
        <w:rPr>
          <w:rFonts w:hint="eastAsia" w:ascii="黑体" w:hAnsi="黑体" w:eastAsia="黑体" w:cs="黑体"/>
          <w:sz w:val="32"/>
          <w:szCs w:val="32"/>
          <w:lang w:eastAsia="zh-CN"/>
        </w:rPr>
      </w:pPr>
    </w:p>
    <w:p>
      <w:pPr>
        <w:rPr>
          <w:rFonts w:hint="eastAsia" w:ascii="黑体" w:hAnsi="黑体" w:eastAsia="黑体" w:cs="黑体"/>
          <w:sz w:val="32"/>
          <w:szCs w:val="32"/>
          <w:lang w:eastAsia="zh-CN"/>
        </w:rPr>
      </w:pPr>
    </w:p>
    <w:p>
      <w:pPr>
        <w:rPr>
          <w:rFonts w:hint="eastAsia" w:ascii="黑体" w:hAnsi="黑体" w:eastAsia="黑体" w:cs="黑体"/>
          <w:sz w:val="32"/>
          <w:szCs w:val="32"/>
          <w:lang w:eastAsia="zh-CN"/>
        </w:rPr>
      </w:pPr>
    </w:p>
    <w:p>
      <w:pPr>
        <w:rPr>
          <w:rFonts w:hint="eastAsia" w:ascii="黑体" w:hAnsi="黑体" w:eastAsia="黑体" w:cs="黑体"/>
          <w:sz w:val="32"/>
          <w:szCs w:val="32"/>
          <w:lang w:eastAsia="zh-CN"/>
        </w:rPr>
      </w:pPr>
    </w:p>
    <w:p>
      <w:pPr>
        <w:rPr>
          <w:rFonts w:hint="eastAsia" w:ascii="黑体" w:hAnsi="黑体" w:eastAsia="黑体" w:cs="黑体"/>
          <w:sz w:val="32"/>
          <w:szCs w:val="32"/>
          <w:lang w:eastAsia="zh-CN"/>
        </w:rPr>
      </w:pPr>
    </w:p>
    <w:p>
      <w:pPr>
        <w:rPr>
          <w:rFonts w:hint="eastAsia" w:ascii="黑体" w:hAnsi="黑体" w:eastAsia="黑体" w:cs="黑体"/>
          <w:sz w:val="32"/>
          <w:szCs w:val="32"/>
          <w:lang w:eastAsia="zh-CN"/>
        </w:rPr>
      </w:pPr>
    </w:p>
    <w:p>
      <w:pPr>
        <w:rPr>
          <w:rFonts w:hint="eastAsia" w:ascii="黑体" w:hAnsi="黑体" w:eastAsia="黑体" w:cs="黑体"/>
          <w:sz w:val="32"/>
          <w:szCs w:val="32"/>
          <w:lang w:eastAsia="zh-CN"/>
        </w:rPr>
      </w:pPr>
    </w:p>
    <w:p>
      <w:pPr>
        <w:rPr>
          <w:rFonts w:hint="eastAsia" w:ascii="黑体" w:hAnsi="黑体" w:eastAsia="黑体" w:cs="黑体"/>
          <w:sz w:val="32"/>
          <w:szCs w:val="32"/>
          <w:lang w:eastAsia="zh-CN"/>
        </w:rPr>
      </w:pPr>
    </w:p>
    <w:p>
      <w:pPr>
        <w:rPr>
          <w:rFonts w:hint="eastAsia" w:ascii="黑体" w:hAnsi="黑体" w:eastAsia="黑体" w:cs="黑体"/>
          <w:sz w:val="32"/>
          <w:szCs w:val="32"/>
          <w:lang w:eastAsia="zh-CN"/>
        </w:rPr>
      </w:pPr>
    </w:p>
    <w:p>
      <w:pPr>
        <w:rPr>
          <w:rFonts w:hint="eastAsia" w:ascii="黑体" w:hAnsi="黑体" w:eastAsia="黑体" w:cs="黑体"/>
          <w:sz w:val="32"/>
          <w:szCs w:val="32"/>
          <w:lang w:eastAsia="zh-CN"/>
        </w:rPr>
      </w:pPr>
    </w:p>
    <w:p>
      <w:pPr>
        <w:rPr>
          <w:rFonts w:hint="eastAsia" w:ascii="黑体" w:hAnsi="黑体" w:eastAsia="黑体" w:cs="黑体"/>
          <w:sz w:val="32"/>
          <w:szCs w:val="32"/>
          <w:lang w:eastAsia="zh-CN"/>
        </w:rPr>
      </w:pPr>
    </w:p>
    <w:p>
      <w:pPr>
        <w:rPr>
          <w:rFonts w:hint="eastAsia" w:ascii="黑体" w:hAnsi="黑体" w:eastAsia="黑体" w:cs="黑体"/>
          <w:sz w:val="32"/>
          <w:szCs w:val="32"/>
          <w:lang w:eastAsia="zh-CN"/>
        </w:rPr>
      </w:pPr>
    </w:p>
    <w:p>
      <w:pPr>
        <w:rPr>
          <w:rFonts w:hint="eastAsia" w:ascii="方正小标宋_GBK" w:hAnsi="方正小标宋_GBK" w:eastAsia="方正小标宋_GBK" w:cs="方正小标宋_GBK"/>
          <w:sz w:val="32"/>
          <w:szCs w:val="32"/>
          <w:lang w:eastAsia="zh-CN"/>
        </w:rPr>
      </w:pPr>
      <w:r>
        <w:rPr>
          <w:rFonts w:hint="eastAsia" w:ascii="黑体" w:hAnsi="黑体" w:eastAsia="黑体" w:cs="黑体"/>
          <w:sz w:val="32"/>
          <w:szCs w:val="32"/>
          <w:lang w:eastAsia="zh-CN"/>
        </w:rPr>
        <w:t>二、评分方法</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_GBK" w:hAnsi="方正小标宋_GBK" w:eastAsia="方正小标宋_GBK" w:cs="方正小标宋_GBK"/>
          <w:sz w:val="32"/>
          <w:szCs w:val="32"/>
          <w:lang w:eastAsia="zh-CN"/>
        </w:rPr>
      </w:pPr>
      <w:r>
        <w:rPr>
          <w:rFonts w:hint="eastAsia" w:ascii="方正小标宋_GBK" w:hAnsi="方正小标宋_GBK" w:eastAsia="方正小标宋_GBK" w:cs="方正小标宋_GBK"/>
          <w:sz w:val="32"/>
          <w:szCs w:val="32"/>
          <w:lang w:eastAsia="zh-CN"/>
        </w:rPr>
        <w:t>四川护理职业学院实验实训设备维修采购项目评分办法</w:t>
      </w:r>
    </w:p>
    <w:tbl>
      <w:tblPr>
        <w:tblStyle w:val="3"/>
        <w:tblW w:w="9371"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1494"/>
        <w:gridCol w:w="903"/>
        <w:gridCol w:w="379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916" w:type="dxa"/>
            <w:vAlign w:val="center"/>
          </w:tcPr>
          <w:p>
            <w:pPr>
              <w:widowControl/>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序号</w:t>
            </w:r>
          </w:p>
        </w:tc>
        <w:tc>
          <w:tcPr>
            <w:tcW w:w="1494" w:type="dxa"/>
            <w:vAlign w:val="center"/>
          </w:tcPr>
          <w:p>
            <w:pPr>
              <w:widowControl/>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评分因素及权重</w:t>
            </w:r>
          </w:p>
        </w:tc>
        <w:tc>
          <w:tcPr>
            <w:tcW w:w="903" w:type="dxa"/>
            <w:vAlign w:val="center"/>
          </w:tcPr>
          <w:p>
            <w:pPr>
              <w:widowControl/>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分值</w:t>
            </w:r>
          </w:p>
        </w:tc>
        <w:tc>
          <w:tcPr>
            <w:tcW w:w="3790" w:type="dxa"/>
            <w:vAlign w:val="center"/>
          </w:tcPr>
          <w:p>
            <w:pPr>
              <w:widowControl/>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评分标准</w:t>
            </w:r>
          </w:p>
        </w:tc>
        <w:tc>
          <w:tcPr>
            <w:tcW w:w="2268" w:type="dxa"/>
            <w:vAlign w:val="center"/>
          </w:tcPr>
          <w:p>
            <w:pPr>
              <w:widowControl/>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1" w:hRule="atLeast"/>
        </w:trPr>
        <w:tc>
          <w:tcPr>
            <w:tcW w:w="916" w:type="dxa"/>
            <w:vAlign w:val="center"/>
          </w:tcPr>
          <w:p>
            <w:pPr>
              <w:widowControl/>
              <w:jc w:val="center"/>
              <w:rPr>
                <w:rFonts w:ascii="仿宋_GB2312" w:hAnsi="仿宋_GB2312" w:eastAsia="仿宋_GB2312" w:cs="仿宋_GB2312"/>
                <w:color w:val="FF0000"/>
                <w:kern w:val="0"/>
                <w:sz w:val="28"/>
                <w:szCs w:val="28"/>
              </w:rPr>
            </w:pPr>
            <w:r>
              <w:rPr>
                <w:rFonts w:hint="eastAsia" w:ascii="仿宋_GB2312" w:hAnsi="仿宋_GB2312" w:eastAsia="仿宋_GB2312" w:cs="仿宋_GB2312"/>
                <w:kern w:val="0"/>
                <w:sz w:val="28"/>
                <w:szCs w:val="28"/>
              </w:rPr>
              <w:t>1</w:t>
            </w:r>
          </w:p>
        </w:tc>
        <w:tc>
          <w:tcPr>
            <w:tcW w:w="1494" w:type="dxa"/>
            <w:vAlign w:val="center"/>
          </w:tcPr>
          <w:p>
            <w:pPr>
              <w:spacing w:line="240" w:lineRule="atLeas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报价</w:t>
            </w:r>
          </w:p>
        </w:tc>
        <w:tc>
          <w:tcPr>
            <w:tcW w:w="903" w:type="dxa"/>
            <w:vAlign w:val="center"/>
          </w:tcPr>
          <w:p>
            <w:pPr>
              <w:spacing w:line="240" w:lineRule="atLeas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30</w:t>
            </w:r>
          </w:p>
        </w:tc>
        <w:tc>
          <w:tcPr>
            <w:tcW w:w="3790" w:type="dxa"/>
            <w:vAlign w:val="center"/>
          </w:tcPr>
          <w:p>
            <w:pPr>
              <w:spacing w:line="240" w:lineRule="atLeas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详见：（一）报价</w:t>
            </w:r>
          </w:p>
        </w:tc>
        <w:tc>
          <w:tcPr>
            <w:tcW w:w="2268" w:type="dxa"/>
            <w:vAlign w:val="center"/>
          </w:tcPr>
          <w:p>
            <w:pPr>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已维修服务费价格评分表中最高分为基准分</w:t>
            </w:r>
          </w:p>
          <w:p>
            <w:pPr>
              <w:jc w:val="center"/>
              <w:rPr>
                <w:rFonts w:ascii="仿宋_GB2312" w:hAnsi="仿宋_GB2312" w:eastAsia="仿宋_GB2312" w:cs="仿宋_GB2312"/>
                <w:sz w:val="28"/>
                <w:szCs w:val="28"/>
              </w:rPr>
            </w:pPr>
            <w:r>
              <w:rPr>
                <w:rFonts w:hint="eastAsia" w:ascii="仿宋_GB2312" w:hAnsi="仿宋_GB2312" w:eastAsia="仿宋_GB2312" w:cs="仿宋_GB2312"/>
                <w:sz w:val="24"/>
                <w:szCs w:val="24"/>
                <w:vertAlign w:val="baseline"/>
                <w:lang w:eastAsia="zh-CN"/>
              </w:rPr>
              <w:t>基准分的报价得分为30分。其他投标人的报价得分按以下公式计算：报价得分=(得分</w:t>
            </w:r>
            <w:r>
              <w:rPr>
                <w:rFonts w:hint="eastAsia" w:ascii="仿宋_GB2312" w:hAnsi="仿宋_GB2312" w:eastAsia="仿宋_GB2312" w:cs="仿宋_GB2312"/>
                <w:sz w:val="24"/>
                <w:szCs w:val="24"/>
                <w:vertAlign w:val="baseline"/>
                <w:lang w:val="en-US" w:eastAsia="zh-CN"/>
              </w:rPr>
              <w:t>÷</w:t>
            </w:r>
            <w:r>
              <w:rPr>
                <w:rFonts w:hint="eastAsia" w:ascii="仿宋_GB2312" w:hAnsi="仿宋_GB2312" w:eastAsia="仿宋_GB2312" w:cs="仿宋_GB2312"/>
                <w:sz w:val="24"/>
                <w:szCs w:val="24"/>
                <w:vertAlign w:val="baseline"/>
                <w:lang w:eastAsia="zh-CN"/>
              </w:rPr>
              <w:t>基准分)×30。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916" w:type="dxa"/>
            <w:vAlign w:val="center"/>
          </w:tcPr>
          <w:p>
            <w:pPr>
              <w:spacing w:line="420" w:lineRule="exact"/>
              <w:jc w:val="center"/>
              <w:rPr>
                <w:rFonts w:ascii="仿宋_GB2312" w:hAnsi="仿宋_GB2312" w:eastAsia="仿宋_GB2312" w:cs="仿宋_GB2312"/>
                <w:color w:val="FF0000"/>
                <w:sz w:val="28"/>
                <w:szCs w:val="28"/>
              </w:rPr>
            </w:pPr>
            <w:r>
              <w:rPr>
                <w:rFonts w:hint="eastAsia" w:ascii="仿宋_GB2312" w:hAnsi="仿宋_GB2312" w:eastAsia="仿宋_GB2312" w:cs="仿宋_GB2312"/>
                <w:sz w:val="28"/>
                <w:szCs w:val="28"/>
              </w:rPr>
              <w:t>2</w:t>
            </w:r>
          </w:p>
        </w:tc>
        <w:tc>
          <w:tcPr>
            <w:tcW w:w="1494" w:type="dxa"/>
            <w:vAlign w:val="center"/>
          </w:tcPr>
          <w:p>
            <w:pPr>
              <w:spacing w:line="42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服务</w:t>
            </w:r>
          </w:p>
        </w:tc>
        <w:tc>
          <w:tcPr>
            <w:tcW w:w="903" w:type="dxa"/>
            <w:vAlign w:val="center"/>
          </w:tcPr>
          <w:p>
            <w:pPr>
              <w:spacing w:line="42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42</w:t>
            </w:r>
          </w:p>
        </w:tc>
        <w:tc>
          <w:tcPr>
            <w:tcW w:w="3790" w:type="dxa"/>
            <w:vAlign w:val="center"/>
          </w:tcPr>
          <w:p>
            <w:pPr>
              <w:spacing w:line="42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提供总体服务方案，内容包括不限于：维修服务人员配置情况（</w:t>
            </w:r>
            <w:r>
              <w:rPr>
                <w:rFonts w:hint="eastAsia" w:ascii="仿宋_GB2312" w:hAnsi="仿宋_GB2312" w:eastAsia="仿宋_GB2312" w:cs="仿宋_GB2312"/>
                <w:sz w:val="28"/>
                <w:szCs w:val="28"/>
                <w:lang w:val="en-US" w:eastAsia="zh-CN"/>
              </w:rPr>
              <w:t>7分</w:t>
            </w:r>
            <w:r>
              <w:rPr>
                <w:rFonts w:hint="eastAsia" w:ascii="仿宋_GB2312" w:hAnsi="仿宋_GB2312" w:eastAsia="仿宋_GB2312" w:cs="仿宋_GB2312"/>
                <w:sz w:val="28"/>
                <w:szCs w:val="28"/>
                <w:lang w:eastAsia="zh-CN"/>
              </w:rPr>
              <w:t>）、维修服务响应时间（</w:t>
            </w:r>
            <w:r>
              <w:rPr>
                <w:rFonts w:hint="eastAsia" w:ascii="仿宋_GB2312" w:hAnsi="仿宋_GB2312" w:eastAsia="仿宋_GB2312" w:cs="仿宋_GB2312"/>
                <w:sz w:val="28"/>
                <w:szCs w:val="28"/>
                <w:lang w:val="en-US" w:eastAsia="zh-CN"/>
              </w:rPr>
              <w:t>7分</w:t>
            </w:r>
            <w:r>
              <w:rPr>
                <w:rFonts w:hint="eastAsia" w:ascii="仿宋_GB2312" w:hAnsi="仿宋_GB2312" w:eastAsia="仿宋_GB2312" w:cs="仿宋_GB2312"/>
                <w:sz w:val="28"/>
                <w:szCs w:val="28"/>
                <w:lang w:eastAsia="zh-CN"/>
              </w:rPr>
              <w:t>）、应急处理方案（</w:t>
            </w:r>
            <w:r>
              <w:rPr>
                <w:rFonts w:hint="eastAsia" w:ascii="仿宋_GB2312" w:hAnsi="仿宋_GB2312" w:eastAsia="仿宋_GB2312" w:cs="仿宋_GB2312"/>
                <w:sz w:val="28"/>
                <w:szCs w:val="28"/>
                <w:lang w:val="en-US" w:eastAsia="zh-CN"/>
              </w:rPr>
              <w:t>7分</w:t>
            </w:r>
            <w:r>
              <w:rPr>
                <w:rFonts w:hint="eastAsia" w:ascii="仿宋_GB2312" w:hAnsi="仿宋_GB2312" w:eastAsia="仿宋_GB2312" w:cs="仿宋_GB2312"/>
                <w:sz w:val="28"/>
                <w:szCs w:val="28"/>
                <w:lang w:eastAsia="zh-CN"/>
              </w:rPr>
              <w:t>）、售后巡检、回访（</w:t>
            </w:r>
            <w:r>
              <w:rPr>
                <w:rFonts w:hint="eastAsia" w:ascii="仿宋_GB2312" w:hAnsi="仿宋_GB2312" w:eastAsia="仿宋_GB2312" w:cs="仿宋_GB2312"/>
                <w:sz w:val="28"/>
                <w:szCs w:val="28"/>
                <w:lang w:val="en-US" w:eastAsia="zh-CN"/>
              </w:rPr>
              <w:t>7分</w:t>
            </w:r>
            <w:r>
              <w:rPr>
                <w:rFonts w:hint="eastAsia" w:ascii="仿宋_GB2312" w:hAnsi="仿宋_GB2312" w:eastAsia="仿宋_GB2312" w:cs="仿宋_GB2312"/>
                <w:sz w:val="28"/>
                <w:szCs w:val="28"/>
                <w:lang w:eastAsia="zh-CN"/>
              </w:rPr>
              <w:t>）、配件提供时间（</w:t>
            </w:r>
            <w:r>
              <w:rPr>
                <w:rFonts w:hint="eastAsia" w:ascii="仿宋_GB2312" w:hAnsi="仿宋_GB2312" w:eastAsia="仿宋_GB2312" w:cs="仿宋_GB2312"/>
                <w:sz w:val="28"/>
                <w:szCs w:val="28"/>
                <w:lang w:val="en-US" w:eastAsia="zh-CN"/>
              </w:rPr>
              <w:t>7分</w:t>
            </w:r>
            <w:r>
              <w:rPr>
                <w:rFonts w:hint="eastAsia" w:ascii="仿宋_GB2312" w:hAnsi="仿宋_GB2312" w:eastAsia="仿宋_GB2312" w:cs="仿宋_GB2312"/>
                <w:sz w:val="28"/>
                <w:szCs w:val="28"/>
                <w:lang w:eastAsia="zh-CN"/>
              </w:rPr>
              <w:t>）、服务便利性（</w:t>
            </w:r>
            <w:r>
              <w:rPr>
                <w:rFonts w:hint="eastAsia" w:ascii="仿宋_GB2312" w:hAnsi="仿宋_GB2312" w:eastAsia="仿宋_GB2312" w:cs="仿宋_GB2312"/>
                <w:sz w:val="28"/>
                <w:szCs w:val="28"/>
                <w:lang w:val="en-US" w:eastAsia="zh-CN"/>
              </w:rPr>
              <w:t>7分</w:t>
            </w:r>
            <w:r>
              <w:rPr>
                <w:rFonts w:hint="eastAsia" w:ascii="仿宋_GB2312" w:hAnsi="仿宋_GB2312" w:eastAsia="仿宋_GB2312" w:cs="仿宋_GB2312"/>
                <w:sz w:val="28"/>
                <w:szCs w:val="28"/>
                <w:lang w:eastAsia="zh-CN"/>
              </w:rPr>
              <w:t>）等方面。</w:t>
            </w:r>
            <w:r>
              <w:rPr>
                <w:rFonts w:hint="eastAsia" w:ascii="仿宋_GB2312" w:hAnsi="仿宋_GB2312" w:eastAsia="仿宋_GB2312" w:cs="仿宋_GB2312"/>
                <w:sz w:val="28"/>
                <w:szCs w:val="28"/>
              </w:rPr>
              <w:t>若因</w:t>
            </w:r>
            <w:r>
              <w:rPr>
                <w:rFonts w:hint="eastAsia" w:ascii="仿宋_GB2312" w:hAnsi="仿宋_GB2312" w:eastAsia="仿宋_GB2312" w:cs="仿宋_GB2312"/>
                <w:sz w:val="28"/>
                <w:szCs w:val="28"/>
                <w:lang w:eastAsia="zh-CN"/>
              </w:rPr>
              <w:t>服务商</w:t>
            </w:r>
            <w:r>
              <w:rPr>
                <w:rFonts w:hint="eastAsia" w:ascii="仿宋_GB2312" w:hAnsi="仿宋_GB2312" w:eastAsia="仿宋_GB2312" w:cs="仿宋_GB2312"/>
                <w:sz w:val="28"/>
                <w:szCs w:val="28"/>
              </w:rPr>
              <w:t>提供的方案描述不全面可能导致项目实施的过程中存在隐患的或供应商提供的内容针对性不强的或方案内容在可行性，科学性，安全性等方面存在不足的，每有一项扣</w:t>
            </w: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分，扣完为止。</w:t>
            </w:r>
          </w:p>
        </w:tc>
        <w:tc>
          <w:tcPr>
            <w:tcW w:w="2268" w:type="dxa"/>
            <w:vAlign w:val="center"/>
          </w:tcPr>
          <w:p>
            <w:pPr>
              <w:spacing w:line="42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服务便利性，即维修服务点距本项目服务点的距离（川护职院：龙都南路173号）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916" w:type="dxa"/>
            <w:vAlign w:val="center"/>
          </w:tcPr>
          <w:p>
            <w:pPr>
              <w:spacing w:line="420" w:lineRule="exact"/>
              <w:jc w:val="center"/>
              <w:rPr>
                <w:rFonts w:ascii="仿宋_GB2312" w:hAnsi="仿宋_GB2312" w:eastAsia="仿宋_GB2312" w:cs="仿宋_GB2312"/>
                <w:color w:val="FF0000"/>
                <w:sz w:val="28"/>
                <w:szCs w:val="28"/>
              </w:rPr>
            </w:pPr>
            <w:r>
              <w:rPr>
                <w:rFonts w:hint="eastAsia" w:ascii="仿宋_GB2312" w:hAnsi="仿宋_GB2312" w:eastAsia="仿宋_GB2312" w:cs="仿宋_GB2312"/>
                <w:sz w:val="28"/>
                <w:szCs w:val="28"/>
              </w:rPr>
              <w:t>3</w:t>
            </w:r>
          </w:p>
        </w:tc>
        <w:tc>
          <w:tcPr>
            <w:tcW w:w="1494" w:type="dxa"/>
            <w:vAlign w:val="center"/>
          </w:tcPr>
          <w:p>
            <w:pPr>
              <w:spacing w:line="42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业绩</w:t>
            </w:r>
            <w:r>
              <w:rPr>
                <w:rFonts w:hint="eastAsia" w:ascii="仿宋_GB2312" w:hAnsi="仿宋_GB2312" w:eastAsia="仿宋_GB2312" w:cs="仿宋_GB2312"/>
                <w:sz w:val="28"/>
                <w:szCs w:val="28"/>
                <w:lang w:eastAsia="zh-CN"/>
              </w:rPr>
              <w:t>实力</w:t>
            </w:r>
          </w:p>
        </w:tc>
        <w:tc>
          <w:tcPr>
            <w:tcW w:w="903" w:type="dxa"/>
            <w:vAlign w:val="center"/>
          </w:tcPr>
          <w:p>
            <w:pPr>
              <w:spacing w:line="42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w:t>
            </w:r>
          </w:p>
        </w:tc>
        <w:tc>
          <w:tcPr>
            <w:tcW w:w="3790" w:type="dxa"/>
            <w:vAlign w:val="center"/>
          </w:tcPr>
          <w:p>
            <w:pPr>
              <w:spacing w:line="4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投标人提供自2018年以来类似项目业绩，每提供1个类似业绩得2分，最高得</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分，未提供不得分。</w:t>
            </w:r>
          </w:p>
        </w:tc>
        <w:tc>
          <w:tcPr>
            <w:tcW w:w="2268" w:type="dxa"/>
            <w:vAlign w:val="center"/>
          </w:tcPr>
          <w:p>
            <w:pPr>
              <w:spacing w:line="4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注：提供项目</w:t>
            </w:r>
            <w:r>
              <w:rPr>
                <w:rFonts w:hint="eastAsia" w:ascii="仿宋_GB2312" w:hAnsi="仿宋_GB2312" w:eastAsia="仿宋_GB2312" w:cs="仿宋_GB2312"/>
                <w:sz w:val="28"/>
                <w:szCs w:val="28"/>
                <w:lang w:eastAsia="zh-CN"/>
              </w:rPr>
              <w:t>中标公告</w:t>
            </w:r>
            <w:r>
              <w:rPr>
                <w:rFonts w:hint="eastAsia" w:ascii="仿宋_GB2312" w:hAnsi="仿宋_GB2312" w:eastAsia="仿宋_GB2312" w:cs="仿宋_GB2312"/>
                <w:sz w:val="28"/>
                <w:szCs w:val="28"/>
              </w:rPr>
              <w:t>或中标通知书复印件，加盖投标人公章。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916" w:type="dxa"/>
            <w:vAlign w:val="center"/>
          </w:tcPr>
          <w:p>
            <w:pPr>
              <w:spacing w:line="42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w:t>
            </w:r>
          </w:p>
        </w:tc>
        <w:tc>
          <w:tcPr>
            <w:tcW w:w="1494" w:type="dxa"/>
            <w:vAlign w:val="center"/>
          </w:tcPr>
          <w:p>
            <w:pPr>
              <w:spacing w:line="42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技术指标及配置</w:t>
            </w:r>
          </w:p>
        </w:tc>
        <w:tc>
          <w:tcPr>
            <w:tcW w:w="903" w:type="dxa"/>
            <w:vAlign w:val="center"/>
          </w:tcPr>
          <w:p>
            <w:pPr>
              <w:spacing w:line="42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20</w:t>
            </w:r>
          </w:p>
        </w:tc>
        <w:tc>
          <w:tcPr>
            <w:tcW w:w="3790" w:type="dxa"/>
            <w:vAlign w:val="center"/>
          </w:tcPr>
          <w:p>
            <w:pPr>
              <w:spacing w:line="42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投标完全符合“一、采购总体需求</w:t>
            </w:r>
            <w:r>
              <w:rPr>
                <w:rFonts w:hint="eastAsia" w:ascii="仿宋_GB2312" w:hAnsi="仿宋_GB2312" w:eastAsia="仿宋_GB2312" w:cs="仿宋_GB2312"/>
                <w:sz w:val="28"/>
                <w:szCs w:val="28"/>
                <w:lang w:val="en-US" w:eastAsia="zh-CN"/>
              </w:rPr>
              <w:t>/参数</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中4类维修需求满分20分，每少一项扣5分。</w:t>
            </w:r>
          </w:p>
        </w:tc>
        <w:tc>
          <w:tcPr>
            <w:tcW w:w="2268" w:type="dxa"/>
            <w:vAlign w:val="center"/>
          </w:tcPr>
          <w:p>
            <w:pPr>
              <w:spacing w:line="420" w:lineRule="exact"/>
              <w:jc w:val="center"/>
              <w:rPr>
                <w:rFonts w:hint="eastAsia" w:ascii="仿宋_GB2312" w:hAnsi="仿宋_GB2312" w:eastAsia="仿宋_GB2312" w:cs="仿宋_GB2312"/>
                <w:sz w:val="28"/>
                <w:szCs w:val="28"/>
              </w:rPr>
            </w:pPr>
          </w:p>
        </w:tc>
      </w:tr>
    </w:tbl>
    <w:p>
      <w:pPr>
        <w:keepNext w:val="0"/>
        <w:keepLines w:val="0"/>
        <w:pageBreakBefore w:val="0"/>
        <w:widowControl w:val="0"/>
        <w:kinsoku/>
        <w:wordWrap/>
        <w:overflowPunct/>
        <w:topLinePunct w:val="0"/>
        <w:autoSpaceDE/>
        <w:autoSpaceDN/>
        <w:bidi w:val="0"/>
        <w:adjustRightInd/>
        <w:snapToGrid/>
        <w:jc w:val="both"/>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报价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本次招标维修服务最终报价为各类服务报价的总和，服务中涉及零部件更换的，更换件价格不在本次报价中约定，但在履约服务时不高于同期同类产品市场价。</w:t>
      </w:r>
    </w:p>
    <w:p>
      <w:pPr>
        <w:rPr>
          <w:rFonts w:hint="eastAsia" w:ascii="仿宋_GB2312" w:hAnsi="仿宋_GB2312" w:eastAsia="仿宋_GB2312" w:cs="仿宋_GB2312"/>
          <w:sz w:val="32"/>
          <w:szCs w:val="32"/>
          <w:lang w:val="en-US" w:eastAsia="zh-CN"/>
        </w:rPr>
      </w:pPr>
    </w:p>
    <w:tbl>
      <w:tblPr>
        <w:tblStyle w:val="4"/>
        <w:tblW w:w="87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6"/>
        <w:gridCol w:w="1815"/>
        <w:gridCol w:w="1920"/>
        <w:gridCol w:w="1620"/>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91" w:type="dxa"/>
            <w:gridSpan w:val="5"/>
            <w:vAlign w:val="center"/>
          </w:tcPr>
          <w:p>
            <w:pPr>
              <w:jc w:val="center"/>
              <w:rPr>
                <w:rFonts w:hint="eastAsia" w:ascii="仿宋_GB2312" w:hAnsi="仿宋_GB2312" w:eastAsia="仿宋_GB2312" w:cs="仿宋_GB2312"/>
                <w:sz w:val="24"/>
                <w:szCs w:val="24"/>
                <w:vertAlign w:val="baseline"/>
                <w:lang w:val="en-US" w:eastAsia="zh-CN"/>
              </w:rPr>
            </w:pPr>
            <w:r>
              <w:rPr>
                <w:rFonts w:hint="eastAsia" w:ascii="黑体" w:hAnsi="黑体" w:eastAsia="黑体" w:cs="黑体"/>
                <w:sz w:val="32"/>
                <w:szCs w:val="32"/>
                <w:lang w:val="en-US" w:eastAsia="zh-CN"/>
              </w:rPr>
              <w:t>维修服务费价格评分表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76"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资产原值</w:t>
            </w:r>
          </w:p>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（M）</w:t>
            </w:r>
          </w:p>
        </w:tc>
        <w:tc>
          <w:tcPr>
            <w:tcW w:w="1815"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维修分类</w:t>
            </w:r>
          </w:p>
        </w:tc>
        <w:tc>
          <w:tcPr>
            <w:tcW w:w="1920"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服务费参考价</w:t>
            </w:r>
          </w:p>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（元/次）</w:t>
            </w:r>
          </w:p>
        </w:tc>
        <w:tc>
          <w:tcPr>
            <w:tcW w:w="1620"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报价</w:t>
            </w:r>
          </w:p>
        </w:tc>
        <w:tc>
          <w:tcPr>
            <w:tcW w:w="1560"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评分：服务费参考价÷报价）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76" w:type="dxa"/>
            <w:vMerge w:val="restart"/>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M＜0.8万元</w:t>
            </w:r>
          </w:p>
        </w:tc>
        <w:tc>
          <w:tcPr>
            <w:tcW w:w="1815"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小修</w:t>
            </w:r>
          </w:p>
        </w:tc>
        <w:tc>
          <w:tcPr>
            <w:tcW w:w="1920"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170</w:t>
            </w:r>
          </w:p>
        </w:tc>
        <w:tc>
          <w:tcPr>
            <w:tcW w:w="1620" w:type="dxa"/>
            <w:vAlign w:val="center"/>
          </w:tcPr>
          <w:p>
            <w:pPr>
              <w:jc w:val="center"/>
              <w:rPr>
                <w:rFonts w:hint="default" w:ascii="仿宋_GB2312" w:hAnsi="仿宋_GB2312" w:eastAsia="仿宋_GB2312" w:cs="仿宋_GB2312"/>
                <w:sz w:val="24"/>
                <w:szCs w:val="24"/>
                <w:vertAlign w:val="baseline"/>
                <w:lang w:val="en-US" w:eastAsia="zh-CN"/>
              </w:rPr>
            </w:pPr>
          </w:p>
        </w:tc>
        <w:tc>
          <w:tcPr>
            <w:tcW w:w="1560" w:type="dxa"/>
            <w:vAlign w:val="center"/>
          </w:tcPr>
          <w:p>
            <w:pPr>
              <w:jc w:val="center"/>
              <w:rPr>
                <w:rFonts w:hint="default"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876" w:type="dxa"/>
            <w:vMerge w:val="continue"/>
            <w:vAlign w:val="center"/>
          </w:tcPr>
          <w:p>
            <w:pPr>
              <w:jc w:val="center"/>
              <w:rPr>
                <w:rFonts w:hint="default" w:ascii="仿宋_GB2312" w:hAnsi="仿宋_GB2312" w:eastAsia="仿宋_GB2312" w:cs="仿宋_GB2312"/>
                <w:sz w:val="24"/>
                <w:szCs w:val="24"/>
                <w:vertAlign w:val="baseline"/>
                <w:lang w:val="en-US" w:eastAsia="zh-CN"/>
              </w:rPr>
            </w:pPr>
          </w:p>
        </w:tc>
        <w:tc>
          <w:tcPr>
            <w:tcW w:w="1815"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中修</w:t>
            </w:r>
          </w:p>
        </w:tc>
        <w:tc>
          <w:tcPr>
            <w:tcW w:w="1920"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240</w:t>
            </w:r>
          </w:p>
        </w:tc>
        <w:tc>
          <w:tcPr>
            <w:tcW w:w="1620" w:type="dxa"/>
            <w:vAlign w:val="center"/>
          </w:tcPr>
          <w:p>
            <w:pPr>
              <w:jc w:val="center"/>
              <w:rPr>
                <w:rFonts w:hint="default" w:ascii="仿宋_GB2312" w:hAnsi="仿宋_GB2312" w:eastAsia="仿宋_GB2312" w:cs="仿宋_GB2312"/>
                <w:sz w:val="24"/>
                <w:szCs w:val="24"/>
                <w:vertAlign w:val="baseline"/>
                <w:lang w:val="en-US" w:eastAsia="zh-CN"/>
              </w:rPr>
            </w:pPr>
          </w:p>
        </w:tc>
        <w:tc>
          <w:tcPr>
            <w:tcW w:w="1560" w:type="dxa"/>
            <w:vAlign w:val="center"/>
          </w:tcPr>
          <w:p>
            <w:pPr>
              <w:jc w:val="center"/>
              <w:rPr>
                <w:rFonts w:hint="default"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76" w:type="dxa"/>
            <w:vMerge w:val="continue"/>
            <w:vAlign w:val="center"/>
          </w:tcPr>
          <w:p>
            <w:pPr>
              <w:jc w:val="center"/>
              <w:rPr>
                <w:rFonts w:hint="default" w:ascii="仿宋_GB2312" w:hAnsi="仿宋_GB2312" w:eastAsia="仿宋_GB2312" w:cs="仿宋_GB2312"/>
                <w:sz w:val="24"/>
                <w:szCs w:val="24"/>
                <w:vertAlign w:val="baseline"/>
                <w:lang w:val="en-US" w:eastAsia="zh-CN"/>
              </w:rPr>
            </w:pPr>
          </w:p>
        </w:tc>
        <w:tc>
          <w:tcPr>
            <w:tcW w:w="1815"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大修</w:t>
            </w:r>
          </w:p>
        </w:tc>
        <w:tc>
          <w:tcPr>
            <w:tcW w:w="1920"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350</w:t>
            </w:r>
          </w:p>
        </w:tc>
        <w:tc>
          <w:tcPr>
            <w:tcW w:w="1620" w:type="dxa"/>
            <w:vAlign w:val="center"/>
          </w:tcPr>
          <w:p>
            <w:pPr>
              <w:jc w:val="center"/>
              <w:rPr>
                <w:rFonts w:hint="default" w:ascii="仿宋_GB2312" w:hAnsi="仿宋_GB2312" w:eastAsia="仿宋_GB2312" w:cs="仿宋_GB2312"/>
                <w:sz w:val="24"/>
                <w:szCs w:val="24"/>
                <w:vertAlign w:val="baseline"/>
                <w:lang w:val="en-US" w:eastAsia="zh-CN"/>
              </w:rPr>
            </w:pPr>
          </w:p>
        </w:tc>
        <w:tc>
          <w:tcPr>
            <w:tcW w:w="1560" w:type="dxa"/>
            <w:vAlign w:val="center"/>
          </w:tcPr>
          <w:p>
            <w:pPr>
              <w:jc w:val="center"/>
              <w:rPr>
                <w:rFonts w:hint="default"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76" w:type="dxa"/>
            <w:vMerge w:val="restart"/>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0.8元≤M＜5万元</w:t>
            </w:r>
          </w:p>
        </w:tc>
        <w:tc>
          <w:tcPr>
            <w:tcW w:w="1815"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小修</w:t>
            </w:r>
          </w:p>
        </w:tc>
        <w:tc>
          <w:tcPr>
            <w:tcW w:w="1920"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240</w:t>
            </w:r>
          </w:p>
        </w:tc>
        <w:tc>
          <w:tcPr>
            <w:tcW w:w="1620" w:type="dxa"/>
            <w:vAlign w:val="center"/>
          </w:tcPr>
          <w:p>
            <w:pPr>
              <w:jc w:val="center"/>
              <w:rPr>
                <w:rFonts w:hint="default" w:ascii="仿宋_GB2312" w:hAnsi="仿宋_GB2312" w:eastAsia="仿宋_GB2312" w:cs="仿宋_GB2312"/>
                <w:sz w:val="24"/>
                <w:szCs w:val="24"/>
                <w:vertAlign w:val="baseline"/>
                <w:lang w:val="en-US" w:eastAsia="zh-CN"/>
              </w:rPr>
            </w:pPr>
          </w:p>
        </w:tc>
        <w:tc>
          <w:tcPr>
            <w:tcW w:w="1560" w:type="dxa"/>
            <w:vAlign w:val="center"/>
          </w:tcPr>
          <w:p>
            <w:pPr>
              <w:jc w:val="center"/>
              <w:rPr>
                <w:rFonts w:hint="default"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76" w:type="dxa"/>
            <w:vMerge w:val="continue"/>
            <w:vAlign w:val="center"/>
          </w:tcPr>
          <w:p>
            <w:pPr>
              <w:jc w:val="center"/>
              <w:rPr>
                <w:rFonts w:hint="default" w:ascii="仿宋_GB2312" w:hAnsi="仿宋_GB2312" w:eastAsia="仿宋_GB2312" w:cs="仿宋_GB2312"/>
                <w:sz w:val="24"/>
                <w:szCs w:val="24"/>
                <w:vertAlign w:val="baseline"/>
                <w:lang w:val="en-US" w:eastAsia="zh-CN"/>
              </w:rPr>
            </w:pPr>
          </w:p>
        </w:tc>
        <w:tc>
          <w:tcPr>
            <w:tcW w:w="1815"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中修</w:t>
            </w:r>
          </w:p>
        </w:tc>
        <w:tc>
          <w:tcPr>
            <w:tcW w:w="1920"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330</w:t>
            </w:r>
          </w:p>
        </w:tc>
        <w:tc>
          <w:tcPr>
            <w:tcW w:w="1620" w:type="dxa"/>
            <w:vAlign w:val="center"/>
          </w:tcPr>
          <w:p>
            <w:pPr>
              <w:jc w:val="center"/>
              <w:rPr>
                <w:rFonts w:hint="default" w:ascii="仿宋_GB2312" w:hAnsi="仿宋_GB2312" w:eastAsia="仿宋_GB2312" w:cs="仿宋_GB2312"/>
                <w:sz w:val="24"/>
                <w:szCs w:val="24"/>
                <w:vertAlign w:val="baseline"/>
                <w:lang w:val="en-US" w:eastAsia="zh-CN"/>
              </w:rPr>
            </w:pPr>
          </w:p>
        </w:tc>
        <w:tc>
          <w:tcPr>
            <w:tcW w:w="1560" w:type="dxa"/>
            <w:vAlign w:val="center"/>
          </w:tcPr>
          <w:p>
            <w:pPr>
              <w:jc w:val="center"/>
              <w:rPr>
                <w:rFonts w:hint="default"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76" w:type="dxa"/>
            <w:vMerge w:val="continue"/>
            <w:vAlign w:val="center"/>
          </w:tcPr>
          <w:p>
            <w:pPr>
              <w:jc w:val="center"/>
              <w:rPr>
                <w:rFonts w:hint="default" w:ascii="仿宋_GB2312" w:hAnsi="仿宋_GB2312" w:eastAsia="仿宋_GB2312" w:cs="仿宋_GB2312"/>
                <w:sz w:val="24"/>
                <w:szCs w:val="24"/>
                <w:vertAlign w:val="baseline"/>
                <w:lang w:val="en-US" w:eastAsia="zh-CN"/>
              </w:rPr>
            </w:pPr>
          </w:p>
        </w:tc>
        <w:tc>
          <w:tcPr>
            <w:tcW w:w="1815"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大修</w:t>
            </w:r>
          </w:p>
        </w:tc>
        <w:tc>
          <w:tcPr>
            <w:tcW w:w="1920"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450</w:t>
            </w:r>
          </w:p>
        </w:tc>
        <w:tc>
          <w:tcPr>
            <w:tcW w:w="1620" w:type="dxa"/>
            <w:vAlign w:val="center"/>
          </w:tcPr>
          <w:p>
            <w:pPr>
              <w:jc w:val="center"/>
              <w:rPr>
                <w:rFonts w:hint="default" w:ascii="仿宋_GB2312" w:hAnsi="仿宋_GB2312" w:eastAsia="仿宋_GB2312" w:cs="仿宋_GB2312"/>
                <w:sz w:val="24"/>
                <w:szCs w:val="24"/>
                <w:vertAlign w:val="baseline"/>
                <w:lang w:val="en-US" w:eastAsia="zh-CN"/>
              </w:rPr>
            </w:pPr>
          </w:p>
        </w:tc>
        <w:tc>
          <w:tcPr>
            <w:tcW w:w="1560" w:type="dxa"/>
            <w:vAlign w:val="center"/>
          </w:tcPr>
          <w:p>
            <w:pPr>
              <w:jc w:val="center"/>
              <w:rPr>
                <w:rFonts w:hint="default"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76" w:type="dxa"/>
            <w:vMerge w:val="restart"/>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M≥5万元</w:t>
            </w:r>
          </w:p>
        </w:tc>
        <w:tc>
          <w:tcPr>
            <w:tcW w:w="1815"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小修</w:t>
            </w:r>
          </w:p>
        </w:tc>
        <w:tc>
          <w:tcPr>
            <w:tcW w:w="1920"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450</w:t>
            </w:r>
          </w:p>
        </w:tc>
        <w:tc>
          <w:tcPr>
            <w:tcW w:w="1620" w:type="dxa"/>
            <w:vAlign w:val="center"/>
          </w:tcPr>
          <w:p>
            <w:pPr>
              <w:jc w:val="center"/>
              <w:rPr>
                <w:rFonts w:hint="default" w:ascii="仿宋_GB2312" w:hAnsi="仿宋_GB2312" w:eastAsia="仿宋_GB2312" w:cs="仿宋_GB2312"/>
                <w:sz w:val="24"/>
                <w:szCs w:val="24"/>
                <w:vertAlign w:val="baseline"/>
                <w:lang w:val="en-US" w:eastAsia="zh-CN"/>
              </w:rPr>
            </w:pPr>
          </w:p>
        </w:tc>
        <w:tc>
          <w:tcPr>
            <w:tcW w:w="1560" w:type="dxa"/>
            <w:vAlign w:val="center"/>
          </w:tcPr>
          <w:p>
            <w:pPr>
              <w:jc w:val="center"/>
              <w:rPr>
                <w:rFonts w:hint="default"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76" w:type="dxa"/>
            <w:vMerge w:val="continue"/>
            <w:vAlign w:val="center"/>
          </w:tcPr>
          <w:p>
            <w:pPr>
              <w:jc w:val="center"/>
              <w:rPr>
                <w:rFonts w:hint="default" w:ascii="仿宋_GB2312" w:hAnsi="仿宋_GB2312" w:eastAsia="仿宋_GB2312" w:cs="仿宋_GB2312"/>
                <w:sz w:val="24"/>
                <w:szCs w:val="24"/>
                <w:vertAlign w:val="baseline"/>
                <w:lang w:val="en-US" w:eastAsia="zh-CN"/>
              </w:rPr>
            </w:pPr>
          </w:p>
        </w:tc>
        <w:tc>
          <w:tcPr>
            <w:tcW w:w="1815"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中修</w:t>
            </w:r>
          </w:p>
        </w:tc>
        <w:tc>
          <w:tcPr>
            <w:tcW w:w="1920"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800</w:t>
            </w:r>
          </w:p>
        </w:tc>
        <w:tc>
          <w:tcPr>
            <w:tcW w:w="1620" w:type="dxa"/>
            <w:vAlign w:val="center"/>
          </w:tcPr>
          <w:p>
            <w:pPr>
              <w:jc w:val="center"/>
              <w:rPr>
                <w:rFonts w:hint="default" w:ascii="仿宋_GB2312" w:hAnsi="仿宋_GB2312" w:eastAsia="仿宋_GB2312" w:cs="仿宋_GB2312"/>
                <w:sz w:val="24"/>
                <w:szCs w:val="24"/>
                <w:vertAlign w:val="baseline"/>
                <w:lang w:val="en-US" w:eastAsia="zh-CN"/>
              </w:rPr>
            </w:pPr>
          </w:p>
        </w:tc>
        <w:tc>
          <w:tcPr>
            <w:tcW w:w="1560" w:type="dxa"/>
            <w:vAlign w:val="center"/>
          </w:tcPr>
          <w:p>
            <w:pPr>
              <w:jc w:val="center"/>
              <w:rPr>
                <w:rFonts w:hint="default"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76" w:type="dxa"/>
            <w:vMerge w:val="continue"/>
            <w:vAlign w:val="center"/>
          </w:tcPr>
          <w:p>
            <w:pPr>
              <w:jc w:val="center"/>
              <w:rPr>
                <w:rFonts w:hint="default" w:ascii="仿宋_GB2312" w:hAnsi="仿宋_GB2312" w:eastAsia="仿宋_GB2312" w:cs="仿宋_GB2312"/>
                <w:sz w:val="24"/>
                <w:szCs w:val="24"/>
                <w:vertAlign w:val="baseline"/>
                <w:lang w:val="en-US" w:eastAsia="zh-CN"/>
              </w:rPr>
            </w:pPr>
          </w:p>
        </w:tc>
        <w:tc>
          <w:tcPr>
            <w:tcW w:w="1815"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大修</w:t>
            </w:r>
          </w:p>
        </w:tc>
        <w:tc>
          <w:tcPr>
            <w:tcW w:w="1920"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1000</w:t>
            </w:r>
          </w:p>
        </w:tc>
        <w:tc>
          <w:tcPr>
            <w:tcW w:w="1620" w:type="dxa"/>
            <w:vAlign w:val="center"/>
          </w:tcPr>
          <w:p>
            <w:pPr>
              <w:jc w:val="center"/>
              <w:rPr>
                <w:rFonts w:hint="default" w:ascii="仿宋_GB2312" w:hAnsi="仿宋_GB2312" w:eastAsia="仿宋_GB2312" w:cs="仿宋_GB2312"/>
                <w:sz w:val="24"/>
                <w:szCs w:val="24"/>
                <w:vertAlign w:val="baseline"/>
                <w:lang w:val="en-US" w:eastAsia="zh-CN"/>
              </w:rPr>
            </w:pPr>
          </w:p>
        </w:tc>
        <w:tc>
          <w:tcPr>
            <w:tcW w:w="1560" w:type="dxa"/>
            <w:vAlign w:val="center"/>
          </w:tcPr>
          <w:p>
            <w:pPr>
              <w:jc w:val="center"/>
              <w:rPr>
                <w:rFonts w:hint="default"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31" w:type="dxa"/>
            <w:gridSpan w:val="4"/>
            <w:vAlign w:val="center"/>
          </w:tcPr>
          <w:p>
            <w:pPr>
              <w:jc w:val="right"/>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评分</w:t>
            </w:r>
          </w:p>
        </w:tc>
        <w:tc>
          <w:tcPr>
            <w:tcW w:w="1560" w:type="dxa"/>
            <w:vAlign w:val="center"/>
          </w:tcPr>
          <w:p>
            <w:pPr>
              <w:jc w:val="center"/>
              <w:rPr>
                <w:rFonts w:hint="default" w:ascii="仿宋_GB2312" w:hAnsi="仿宋_GB2312" w:eastAsia="仿宋_GB2312" w:cs="仿宋_GB2312"/>
                <w:sz w:val="24"/>
                <w:szCs w:val="24"/>
                <w:vertAlign w:val="baseline"/>
                <w:lang w:val="en-US" w:eastAsia="zh-CN"/>
              </w:rPr>
            </w:pPr>
          </w:p>
        </w:tc>
      </w:tr>
    </w:tbl>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注：关于“大修、中修、小修”的解释说明：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大修：大修是工作量最大的维修。大修时，对设备的全部或大部分部件解体，修复基准件，更换或修复全部不合格的零件：修复和调整设备的核心装置、部件。达到全面消除修前存在的缺陷，恢复设备的规定功能和精度。从维修金额上判断，大修时维修总费用约占固定资产原价值的16-30%（含），且服务费＜零部件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（2）中修：中修是根据设备的实际情况，对状态劣化己难以达到生产工艺要求的部件进行针对性维修。中修时，一般要进行部分拆</w:t>
      </w:r>
      <w:bookmarkStart w:id="0" w:name="_GoBack"/>
      <w:bookmarkEnd w:id="0"/>
      <w:r>
        <w:rPr>
          <w:rFonts w:hint="eastAsia" w:ascii="仿宋_GB2312" w:hAnsi="仿宋_GB2312" w:eastAsia="仿宋_GB2312" w:cs="仿宋_GB2312"/>
          <w:sz w:val="32"/>
          <w:szCs w:val="32"/>
          <w:lang w:val="en-US" w:eastAsia="zh-CN"/>
        </w:rPr>
        <w:t>卸，检查，更换或修复失效的零件，必要时对设备进行局部维修和调整精度，从而恢复所修部分的精度和性能。中修的工作量视实际情况而定。从维修金额上判断，中修时维修总费用约占固定资产原价值的6-15%（含），且服务费＜零部件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小修：小修是工作量最小的维修。小修的内容是针对故障发现的问题，拆卸有关部件、进行检查、调整、更换或修复失效的零件，以恢复设备的正常功能。对于实行定期维修的设备，小修的主要内容是根据掌握的磨损规律，更换或修复在维修间隔期内即将失效的零件，以保证设备的正常功能；小修还包括由于机器设置不当以及软件出错导致的使用不正常。从维修金额上判断，小修时维修总费用约古固定资产原价值的5%（含）及以下。</w:t>
      </w:r>
    </w:p>
    <w:p>
      <w:pPr>
        <w:pStyle w:val="2"/>
        <w:rPr>
          <w:rFonts w:hint="eastAsia" w:ascii="黑体" w:hAnsi="黑体" w:eastAsia="黑体" w:cs="黑体"/>
          <w:sz w:val="32"/>
          <w:szCs w:val="32"/>
          <w:lang w:val="en-US" w:eastAsia="zh-CN"/>
        </w:rPr>
      </w:pPr>
    </w:p>
    <w:p>
      <w:pPr>
        <w:pStyle w:val="2"/>
        <w:ind w:left="0" w:leftChars="0" w:firstLine="0" w:firstLineChars="0"/>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F052F9"/>
    <w:rsid w:val="007A1658"/>
    <w:rsid w:val="02906142"/>
    <w:rsid w:val="06FB3B03"/>
    <w:rsid w:val="073159CA"/>
    <w:rsid w:val="0F545D35"/>
    <w:rsid w:val="146E11FD"/>
    <w:rsid w:val="192C06DB"/>
    <w:rsid w:val="1CAE4A99"/>
    <w:rsid w:val="23B74027"/>
    <w:rsid w:val="287D6AAD"/>
    <w:rsid w:val="34110FF9"/>
    <w:rsid w:val="342A41EA"/>
    <w:rsid w:val="38265C2B"/>
    <w:rsid w:val="3A29797A"/>
    <w:rsid w:val="3A5F7402"/>
    <w:rsid w:val="3B3069D8"/>
    <w:rsid w:val="3FDB361A"/>
    <w:rsid w:val="414A7570"/>
    <w:rsid w:val="42511598"/>
    <w:rsid w:val="46C763E5"/>
    <w:rsid w:val="47F052F9"/>
    <w:rsid w:val="4AD61FA7"/>
    <w:rsid w:val="59004FC7"/>
    <w:rsid w:val="5BA02E96"/>
    <w:rsid w:val="5E8A2CC0"/>
    <w:rsid w:val="678B71FC"/>
    <w:rsid w:val="69FC3975"/>
    <w:rsid w:val="71971267"/>
    <w:rsid w:val="72D2576C"/>
    <w:rsid w:val="79AB33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0"/>
    <w:pPr>
      <w:spacing w:beforeLines="50" w:afterLines="100" w:line="360" w:lineRule="auto"/>
      <w:ind w:firstLine="480" w:firstLineChars="200"/>
    </w:pPr>
    <w:rPr>
      <w:rFonts w:ascii="Arial" w:hAnsi="Arial" w:eastAsia="Times New Roman"/>
      <w:sz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29</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2021-11-25T11:34:00Z</dcterms:created>
  <dc:creator>THTFPC</dc:creator>
  <cp:lastModifiedBy>护理学院继教村医办胡杨</cp:lastModifiedBy>
  <dcterms:modified xsi:type="dcterms:W3CDTF">2021-12-01T06:53:03Z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719609D8DBB245BE975E45534958DBD4</vt:lpwstr>
  </property>
</Properties>
</file>