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20" w:lineRule="atLeast"/>
        <w:jc w:val="center"/>
        <w:rPr>
          <w:rFonts w:ascii="方正小标宋简体" w:hAnsi="方正小标宋简体" w:eastAsia="方正小标宋简体" w:cs="方正小标宋简体"/>
          <w:sz w:val="44"/>
          <w:szCs w:val="44"/>
        </w:rPr>
      </w:pPr>
    </w:p>
    <w:p>
      <w:pPr>
        <w:spacing w:after="0" w:line="22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四川护理职业学院日常零星维修服务（成都校区）采购文件</w:t>
      </w:r>
    </w:p>
    <w:p>
      <w:pPr>
        <w:spacing w:after="0" w:line="220" w:lineRule="atLeast"/>
        <w:ind w:firstLine="556" w:firstLineChars="200"/>
        <w:rPr>
          <w:rFonts w:ascii="仿宋_GB2312" w:hAnsi="仿宋_GB2312" w:eastAsia="仿宋_GB2312" w:cs="仿宋_GB2312"/>
          <w:color w:val="000000"/>
          <w:spacing w:val="-21"/>
          <w:sz w:val="32"/>
          <w:szCs w:val="32"/>
        </w:rPr>
      </w:pPr>
    </w:p>
    <w:p>
      <w:pPr>
        <w:adjustRightInd/>
        <w:snapToGrid/>
        <w:spacing w:after="0" w:line="520" w:lineRule="exact"/>
        <w:ind w:left="720"/>
        <w:rPr>
          <w:rFonts w:ascii="仿宋_GB2312" w:hAnsi="仿宋_GB2312" w:eastAsia="仿宋_GB2312" w:cs="仿宋_GB2312"/>
          <w:b/>
          <w:sz w:val="32"/>
          <w:szCs w:val="32"/>
        </w:rPr>
      </w:pPr>
      <w:r>
        <w:rPr>
          <w:rFonts w:hint="eastAsia" w:ascii="仿宋_GB2312" w:hAnsi="仿宋_GB2312" w:eastAsia="仿宋_GB2312" w:cs="仿宋_GB2312"/>
          <w:b/>
          <w:sz w:val="32"/>
          <w:szCs w:val="32"/>
        </w:rPr>
        <w:t>一、项目概况</w:t>
      </w:r>
    </w:p>
    <w:p>
      <w:pPr>
        <w:spacing w:after="0" w:line="520" w:lineRule="exact"/>
        <w:ind w:firstLine="642"/>
        <w:rPr>
          <w:rFonts w:ascii="仿宋_GB2312" w:hAnsi="仿宋_GB2312" w:eastAsia="仿宋_GB2312" w:cs="仿宋_GB2312"/>
          <w:bCs/>
          <w:sz w:val="32"/>
          <w:szCs w:val="32"/>
        </w:rPr>
      </w:pPr>
      <w:r>
        <w:rPr>
          <w:rFonts w:hint="eastAsia" w:ascii="仿宋_GB2312" w:hAnsi="仿宋_GB2312" w:eastAsia="仿宋_GB2312" w:cs="仿宋_GB2312"/>
          <w:spacing w:val="-21"/>
          <w:sz w:val="32"/>
          <w:szCs w:val="32"/>
        </w:rPr>
        <w:t>本项目为四</w:t>
      </w:r>
      <w:r>
        <w:rPr>
          <w:rFonts w:hint="eastAsia" w:ascii="仿宋_GB2312" w:hAnsi="仿宋_GB2312" w:eastAsia="仿宋_GB2312" w:cs="仿宋_GB2312"/>
          <w:bCs/>
          <w:sz w:val="32"/>
          <w:szCs w:val="32"/>
        </w:rPr>
        <w:t>川护理职业学院日常零星</w:t>
      </w:r>
      <w:r>
        <w:rPr>
          <w:rFonts w:hint="eastAsia" w:ascii="仿宋_GB2312" w:hAnsi="仿宋_GB2312" w:eastAsia="仿宋_GB2312" w:cs="仿宋_GB2312"/>
          <w:sz w:val="32"/>
          <w:szCs w:val="32"/>
        </w:rPr>
        <w:t>维修服务（</w:t>
      </w:r>
      <w:r>
        <w:rPr>
          <w:rFonts w:hint="eastAsia" w:ascii="仿宋_GB2312" w:hAnsi="仿宋_GB2312" w:eastAsia="仿宋_GB2312" w:cs="仿宋_GB2312"/>
          <w:bCs/>
          <w:sz w:val="32"/>
          <w:szCs w:val="32"/>
        </w:rPr>
        <w:t>成都校区）。</w:t>
      </w:r>
    </w:p>
    <w:p>
      <w:pPr>
        <w:spacing w:after="0" w:line="52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服务内容包含空调维修、零星装饰装修、安装制作、维修门窗、锁具等维修。</w:t>
      </w:r>
    </w:p>
    <w:p>
      <w:pPr>
        <w:adjustRightInd/>
        <w:snapToGrid/>
        <w:spacing w:after="0"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二、服务期限</w:t>
      </w:r>
    </w:p>
    <w:p>
      <w:pPr>
        <w:pStyle w:val="9"/>
        <w:shd w:val="clear" w:color="auto" w:fill="FFFFFF"/>
        <w:spacing w:beforeAutospacing="0" w:afterAutospacing="0" w:line="560" w:lineRule="exact"/>
        <w:ind w:firstLine="643" w:firstLineChars="200"/>
        <w:jc w:val="both"/>
        <w:rPr>
          <w:rFonts w:hint="eastAsia" w:ascii="仿宋" w:hAnsi="仿宋" w:eastAsia="仿宋"/>
          <w:b/>
          <w:bCs/>
          <w:color w:val="auto"/>
          <w:sz w:val="32"/>
          <w:szCs w:val="32"/>
          <w:u w:val="none"/>
          <w:lang w:eastAsia="zh-CN"/>
        </w:rPr>
      </w:pPr>
      <w:r>
        <w:rPr>
          <w:rFonts w:hint="eastAsia" w:ascii="仿宋" w:hAnsi="仿宋" w:eastAsia="仿宋" w:cs="仿宋"/>
          <w:b/>
          <w:bCs/>
          <w:sz w:val="32"/>
          <w:szCs w:val="32"/>
          <w:u w:val="single"/>
        </w:rPr>
        <w:t>合同签订之日起</w:t>
      </w:r>
      <w:r>
        <w:rPr>
          <w:rFonts w:hint="eastAsia" w:ascii="仿宋" w:hAnsi="仿宋" w:eastAsia="仿宋" w:cs="仿宋_GB2312"/>
          <w:b/>
          <w:bCs/>
          <w:sz w:val="32"/>
          <w:szCs w:val="32"/>
          <w:u w:val="single"/>
        </w:rPr>
        <w:t>-2022年1</w:t>
      </w:r>
      <w:r>
        <w:rPr>
          <w:rFonts w:hint="eastAsia" w:ascii="仿宋" w:hAnsi="仿宋" w:eastAsia="仿宋" w:cs="仿宋_GB2312"/>
          <w:b/>
          <w:bCs/>
          <w:sz w:val="32"/>
          <w:szCs w:val="32"/>
          <w:u w:val="single"/>
          <w:lang w:val="en-US" w:eastAsia="zh-CN"/>
        </w:rPr>
        <w:t>1</w:t>
      </w:r>
      <w:r>
        <w:rPr>
          <w:rFonts w:hint="eastAsia" w:ascii="仿宋" w:hAnsi="仿宋" w:eastAsia="仿宋" w:cs="仿宋_GB2312"/>
          <w:b/>
          <w:bCs/>
          <w:sz w:val="32"/>
          <w:szCs w:val="32"/>
          <w:u w:val="single"/>
        </w:rPr>
        <w:t>月或服务期内维修结算总金</w:t>
      </w:r>
      <w:r>
        <w:rPr>
          <w:rFonts w:hint="eastAsia" w:ascii="仿宋" w:hAnsi="仿宋" w:eastAsia="仿宋"/>
          <w:b/>
          <w:bCs/>
          <w:sz w:val="32"/>
          <w:szCs w:val="32"/>
          <w:u w:val="single"/>
        </w:rPr>
        <w:t>额达到人民币4.9万</w:t>
      </w:r>
      <w:r>
        <w:rPr>
          <w:rFonts w:hint="eastAsia" w:ascii="仿宋" w:hAnsi="仿宋" w:eastAsia="仿宋"/>
          <w:b/>
          <w:bCs/>
          <w:color w:val="auto"/>
          <w:sz w:val="32"/>
          <w:szCs w:val="32"/>
          <w:u w:val="single"/>
        </w:rPr>
        <w:t>元</w:t>
      </w:r>
      <w:r>
        <w:rPr>
          <w:rFonts w:hint="eastAsia" w:ascii="仿宋" w:hAnsi="仿宋" w:eastAsia="仿宋"/>
          <w:b/>
          <w:bCs/>
          <w:color w:val="auto"/>
          <w:sz w:val="32"/>
          <w:szCs w:val="32"/>
          <w:u w:val="none"/>
          <w:lang w:eastAsia="zh-CN"/>
        </w:rPr>
        <w:t>。</w:t>
      </w:r>
    </w:p>
    <w:p>
      <w:pPr>
        <w:adjustRightInd/>
        <w:snapToGrid/>
        <w:spacing w:after="0"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三、预算资金</w:t>
      </w:r>
    </w:p>
    <w:p>
      <w:pPr>
        <w:adjustRightInd/>
        <w:snapToGrid/>
        <w:spacing w:after="0" w:line="520" w:lineRule="exact"/>
        <w:ind w:left="440" w:left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人民币4.9万元。</w:t>
      </w:r>
    </w:p>
    <w:p>
      <w:pPr>
        <w:adjustRightInd/>
        <w:snapToGrid/>
        <w:spacing w:after="0" w:line="52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bCs/>
          <w:sz w:val="32"/>
          <w:szCs w:val="32"/>
        </w:rPr>
        <w:t>四、投标人资质</w:t>
      </w:r>
    </w:p>
    <w:p>
      <w:pPr>
        <w:spacing w:after="0" w:line="52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（一)具有独立的法人资格。</w:t>
      </w:r>
    </w:p>
    <w:p>
      <w:pPr>
        <w:spacing w:after="0" w:line="520" w:lineRule="exact"/>
        <w:ind w:firstLine="640" w:firstLineChars="200"/>
        <w:rPr>
          <w:rStyle w:val="14"/>
          <w:rFonts w:ascii="仿宋_GB2312" w:hAnsi="仿宋_GB2312" w:eastAsia="仿宋_GB2312" w:cs="仿宋_GB2312"/>
          <w:b w:val="0"/>
          <w:bCs w:val="0"/>
          <w:sz w:val="32"/>
          <w:szCs w:val="32"/>
        </w:rPr>
      </w:pPr>
      <w:r>
        <w:rPr>
          <w:rFonts w:hint="eastAsia" w:ascii="仿宋_GB2312" w:hAnsi="仿宋_GB2312" w:eastAsia="仿宋_GB2312" w:cs="仿宋_GB2312"/>
          <w:bCs/>
          <w:sz w:val="32"/>
          <w:szCs w:val="32"/>
        </w:rPr>
        <w:t>（二）具有良好的商业信誉和健全的财务会计制度，依法纳税并能开普通增值税发票。</w:t>
      </w:r>
    </w:p>
    <w:p>
      <w:pPr>
        <w:pStyle w:val="9"/>
        <w:spacing w:before="0" w:beforeAutospacing="0" w:after="0" w:afterAutospacing="0" w:line="52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（三）具有履行合同所必需的设备和专业技术能力。</w:t>
      </w:r>
    </w:p>
    <w:p>
      <w:pPr>
        <w:pStyle w:val="9"/>
        <w:spacing w:before="0" w:beforeAutospacing="0" w:after="0" w:afterAutospacing="0" w:line="52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（四）本次招标不接受联合体投标、不接受自然人投标。</w:t>
      </w:r>
    </w:p>
    <w:p>
      <w:pPr>
        <w:pStyle w:val="9"/>
        <w:spacing w:before="0" w:beforeAutospacing="0" w:after="0" w:afterAutospacing="0" w:line="520" w:lineRule="exact"/>
        <w:ind w:firstLine="643" w:firstLineChars="200"/>
        <w:textAlignment w:val="baseline"/>
        <w:rPr>
          <w:rFonts w:ascii="仿宋_GB2312" w:hAnsi="仿宋_GB2312" w:eastAsia="仿宋_GB2312" w:cs="仿宋_GB2312"/>
          <w:b/>
          <w:sz w:val="32"/>
          <w:szCs w:val="32"/>
        </w:rPr>
      </w:pPr>
      <w:r>
        <w:rPr>
          <w:rFonts w:hint="eastAsia" w:ascii="仿宋_GB2312" w:hAnsi="仿宋_GB2312" w:eastAsia="仿宋_GB2312" w:cs="仿宋_GB2312"/>
          <w:b/>
          <w:sz w:val="32"/>
          <w:szCs w:val="32"/>
        </w:rPr>
        <w:t>五、投标人须知</w:t>
      </w:r>
    </w:p>
    <w:p>
      <w:pPr>
        <w:pStyle w:val="9"/>
        <w:spacing w:before="0" w:beforeAutospacing="0" w:after="0" w:afterAutospacing="0" w:line="520" w:lineRule="exact"/>
        <w:ind w:firstLine="640" w:firstLineChars="200"/>
        <w:textAlignment w:val="baseline"/>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（一）维修服务费根据实际发生量按实结算，每3个月结算一次，服务期结束或服务费结算总金额达到项目预算资金4.9万元时，合同自动终止。</w:t>
      </w:r>
    </w:p>
    <w:p>
      <w:pPr>
        <w:pStyle w:val="9"/>
        <w:spacing w:before="0" w:beforeAutospacing="0" w:after="0" w:afterAutospacing="0" w:line="520" w:lineRule="exact"/>
        <w:ind w:firstLine="640" w:firstLineChars="20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（二）中标服务商在接到学院维修通知后，维修人员须及时到场、及时维修，如不能及时维修，给学院造成影响或经济损失的，责任由中标服务商承担。</w:t>
      </w:r>
    </w:p>
    <w:p>
      <w:pPr>
        <w:pStyle w:val="9"/>
        <w:spacing w:before="0" w:beforeAutospacing="0" w:after="0" w:afterAutospacing="0" w:line="520" w:lineRule="exact"/>
        <w:ind w:firstLine="640" w:firstLineChars="200"/>
        <w:textAlignment w:val="baseline"/>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（三）所有维修项目的质量保证期：1年。</w:t>
      </w:r>
    </w:p>
    <w:p>
      <w:pPr>
        <w:pStyle w:val="9"/>
        <w:spacing w:before="0" w:beforeAutospacing="0" w:after="0" w:afterAutospacing="0" w:line="520" w:lineRule="exact"/>
        <w:ind w:firstLine="640" w:firstLineChars="200"/>
        <w:textAlignment w:val="baseline"/>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（四）投标人须向采购人交纳履约保证金人民币3000元整，合同结束后采购人无息退还。</w:t>
      </w:r>
    </w:p>
    <w:p>
      <w:pPr>
        <w:spacing w:after="0" w:line="520" w:lineRule="exact"/>
        <w:ind w:firstLine="643" w:firstLineChars="200"/>
        <w:rPr>
          <w:rFonts w:ascii="仿宋_GB2312" w:eastAsia="仿宋_GB2312"/>
          <w:b/>
          <w:sz w:val="32"/>
          <w:szCs w:val="32"/>
        </w:rPr>
      </w:pPr>
      <w:r>
        <w:rPr>
          <w:rFonts w:hint="eastAsia" w:ascii="仿宋_GB2312" w:eastAsia="仿宋_GB2312"/>
          <w:b/>
          <w:sz w:val="32"/>
          <w:szCs w:val="32"/>
        </w:rPr>
        <w:t>六、投标文件的递交：</w:t>
      </w:r>
    </w:p>
    <w:p>
      <w:pPr>
        <w:spacing w:after="0" w:line="520" w:lineRule="exact"/>
        <w:ind w:firstLine="640" w:firstLineChars="200"/>
        <w:rPr>
          <w:rFonts w:ascii="仿宋_GB2312" w:eastAsia="仿宋_GB2312" w:hAnsiTheme="majorEastAsia"/>
          <w:bCs/>
          <w:color w:val="000000"/>
          <w:sz w:val="32"/>
          <w:szCs w:val="32"/>
        </w:rPr>
      </w:pPr>
      <w:r>
        <w:rPr>
          <w:rFonts w:hint="eastAsia" w:ascii="仿宋_GB2312" w:hAnsi="Arial" w:eastAsia="仿宋_GB2312" w:cs="Arial"/>
          <w:sz w:val="32"/>
          <w:szCs w:val="32"/>
        </w:rPr>
        <w:t>投标</w:t>
      </w:r>
      <w:r>
        <w:rPr>
          <w:rFonts w:hint="eastAsia" w:ascii="仿宋_GB2312" w:eastAsia="仿宋_GB2312"/>
          <w:sz w:val="32"/>
          <w:szCs w:val="32"/>
        </w:rPr>
        <w:t>文件招标现场递交，必须密封并加盖公章。</w:t>
      </w:r>
    </w:p>
    <w:p>
      <w:pPr>
        <w:spacing w:after="0" w:line="440" w:lineRule="exact"/>
        <w:ind w:firstLine="643" w:firstLineChars="200"/>
        <w:rPr>
          <w:rFonts w:ascii="仿宋_GB2312" w:eastAsia="仿宋_GB2312" w:hAnsiTheme="majorEastAsia"/>
          <w:b/>
          <w:sz w:val="32"/>
          <w:szCs w:val="32"/>
        </w:rPr>
      </w:pPr>
      <w:r>
        <w:rPr>
          <w:rFonts w:hint="eastAsia" w:ascii="仿宋_GB2312" w:eastAsia="仿宋_GB2312" w:hAnsiTheme="majorEastAsia"/>
          <w:b/>
          <w:sz w:val="32"/>
          <w:szCs w:val="32"/>
        </w:rPr>
        <w:t>七、投标文件内容：</w:t>
      </w:r>
    </w:p>
    <w:p>
      <w:pPr>
        <w:spacing w:after="0" w:line="440" w:lineRule="exact"/>
        <w:ind w:firstLine="640" w:firstLineChars="200"/>
        <w:rPr>
          <w:rFonts w:ascii="仿宋_GB2312" w:eastAsia="仿宋_GB2312" w:hAnsiTheme="majorEastAsia"/>
          <w:color w:val="FF0000"/>
          <w:sz w:val="32"/>
          <w:szCs w:val="32"/>
        </w:rPr>
      </w:pPr>
      <w:r>
        <w:rPr>
          <w:rFonts w:hint="eastAsia" w:ascii="仿宋_GB2312" w:eastAsia="仿宋_GB2312" w:hAnsiTheme="majorEastAsia"/>
          <w:sz w:val="32"/>
          <w:szCs w:val="32"/>
        </w:rPr>
        <w:t>（一）有效期内企业营业执照复印件</w:t>
      </w:r>
      <w:r>
        <w:rPr>
          <w:rFonts w:hint="eastAsia" w:ascii="仿宋_GB2312" w:eastAsia="仿宋_GB2312" w:hAnsiTheme="majorEastAsia"/>
          <w:sz w:val="32"/>
          <w:szCs w:val="32"/>
          <w:lang w:val="en-US" w:eastAsia="zh-CN"/>
        </w:rPr>
        <w:t>或</w:t>
      </w:r>
      <w:r>
        <w:rPr>
          <w:rFonts w:hint="eastAsia" w:ascii="仿宋_GB2312" w:eastAsia="仿宋_GB2312" w:hAnsiTheme="majorEastAsia"/>
          <w:sz w:val="32"/>
          <w:szCs w:val="32"/>
        </w:rPr>
        <w:t>组织机构代码证复印件、税务登记证复印件。</w:t>
      </w:r>
    </w:p>
    <w:p>
      <w:pPr>
        <w:pStyle w:val="2"/>
        <w:shd w:val="clear" w:color="auto" w:fill="FCFCFC"/>
        <w:spacing w:before="0" w:beforeAutospacing="0" w:after="0" w:afterAutospacing="0" w:line="440" w:lineRule="exact"/>
        <w:ind w:right="-58" w:firstLine="640" w:firstLineChars="200"/>
        <w:rPr>
          <w:rFonts w:ascii="仿宋_GB2312" w:eastAsia="仿宋_GB2312" w:hAnsiTheme="majorEastAsia"/>
          <w:b w:val="0"/>
          <w:sz w:val="32"/>
          <w:szCs w:val="32"/>
        </w:rPr>
      </w:pPr>
      <w:r>
        <w:rPr>
          <w:rFonts w:hint="eastAsia" w:ascii="仿宋_GB2312" w:hAnsi="仿宋_GB2312" w:eastAsia="仿宋_GB2312" w:cs="仿宋_GB2312"/>
          <w:b w:val="0"/>
          <w:sz w:val="32"/>
          <w:szCs w:val="32"/>
        </w:rPr>
        <w:t>（二）报价单。</w:t>
      </w:r>
    </w:p>
    <w:p>
      <w:pPr>
        <w:spacing w:after="0" w:line="520" w:lineRule="exact"/>
        <w:ind w:firstLine="640" w:firstLineChars="200"/>
        <w:rPr>
          <w:rFonts w:hint="eastAsia" w:ascii="仿宋" w:hAnsi="仿宋" w:eastAsia="仿宋"/>
          <w:sz w:val="32"/>
          <w:szCs w:val="32"/>
          <w:u w:val="none"/>
        </w:rPr>
      </w:pPr>
      <w:r>
        <w:rPr>
          <w:rFonts w:hint="eastAsia" w:ascii="仿宋" w:hAnsi="仿宋" w:eastAsia="仿宋"/>
          <w:sz w:val="32"/>
          <w:szCs w:val="32"/>
        </w:rPr>
        <w:t>（三）服务承诺，</w:t>
      </w:r>
      <w:r>
        <w:rPr>
          <w:rFonts w:hint="eastAsia" w:ascii="仿宋" w:hAnsi="仿宋" w:eastAsia="仿宋"/>
          <w:sz w:val="32"/>
          <w:szCs w:val="32"/>
          <w:u w:val="none"/>
        </w:rPr>
        <w:t>包括以下内容：</w:t>
      </w:r>
      <w:r>
        <w:rPr>
          <w:rFonts w:hint="eastAsia" w:ascii="仿宋" w:hAnsi="仿宋" w:eastAsia="仿宋"/>
          <w:sz w:val="32"/>
          <w:szCs w:val="32"/>
          <w:u w:val="none"/>
          <w:lang w:val="en-US" w:eastAsia="zh-CN"/>
        </w:rPr>
        <w:t>评分标准序号2所要求的所有项目。</w:t>
      </w:r>
    </w:p>
    <w:p>
      <w:pPr>
        <w:spacing w:after="0" w:line="520" w:lineRule="exact"/>
        <w:ind w:firstLine="643" w:firstLineChars="200"/>
        <w:rPr>
          <w:rFonts w:ascii="仿宋_GB2312" w:eastAsia="仿宋_GB2312"/>
          <w:sz w:val="32"/>
          <w:szCs w:val="32"/>
        </w:rPr>
      </w:pPr>
      <w:r>
        <w:rPr>
          <w:rFonts w:hint="eastAsia" w:ascii="仿宋_GB2312" w:eastAsia="仿宋_GB2312"/>
          <w:b/>
          <w:bCs/>
          <w:sz w:val="32"/>
          <w:szCs w:val="32"/>
        </w:rPr>
        <w:t>八、中标供应商的确定</w:t>
      </w:r>
    </w:p>
    <w:p>
      <w:pPr>
        <w:spacing w:after="0" w:line="520" w:lineRule="exact"/>
        <w:ind w:firstLine="640" w:firstLineChars="200"/>
        <w:rPr>
          <w:rFonts w:ascii="仿宋" w:hAnsi="仿宋" w:eastAsia="仿宋"/>
          <w:sz w:val="32"/>
          <w:szCs w:val="32"/>
        </w:rPr>
      </w:pPr>
      <w:r>
        <w:rPr>
          <w:rFonts w:hint="eastAsia" w:ascii="仿宋_GB2312" w:eastAsia="仿宋_GB2312"/>
          <w:sz w:val="32"/>
          <w:szCs w:val="32"/>
        </w:rPr>
        <w:t>本次</w:t>
      </w:r>
      <w:r>
        <w:rPr>
          <w:rFonts w:hint="eastAsia" w:ascii="仿宋_GB2312" w:eastAsia="仿宋_GB2312"/>
          <w:sz w:val="32"/>
          <w:szCs w:val="32"/>
          <w:lang w:val="en-US" w:eastAsia="zh-CN"/>
        </w:rPr>
        <w:t>采购</w:t>
      </w:r>
      <w:r>
        <w:rPr>
          <w:rFonts w:hint="eastAsia" w:ascii="仿宋_GB2312" w:eastAsia="仿宋_GB2312"/>
          <w:sz w:val="32"/>
          <w:szCs w:val="32"/>
        </w:rPr>
        <w:t>采用综合评分法确定中标供应商，得分最高的为中标供应商。</w:t>
      </w:r>
    </w:p>
    <w:p>
      <w:pPr>
        <w:spacing w:after="0" w:line="440" w:lineRule="exact"/>
        <w:ind w:left="2088" w:leftChars="292" w:hanging="1446" w:hangingChars="450"/>
        <w:rPr>
          <w:rFonts w:ascii="仿宋_GB2312" w:eastAsia="仿宋_GB2312" w:hAnsiTheme="majorEastAsia"/>
          <w:sz w:val="32"/>
          <w:szCs w:val="32"/>
        </w:rPr>
      </w:pPr>
      <w:r>
        <w:rPr>
          <w:rFonts w:hint="eastAsia" w:ascii="仿宋_GB2312" w:eastAsia="仿宋_GB2312" w:hAnsiTheme="majorEastAsia"/>
          <w:b/>
          <w:sz w:val="32"/>
          <w:szCs w:val="32"/>
        </w:rPr>
        <w:t>九、评分标准及报价单格式</w:t>
      </w:r>
    </w:p>
    <w:p>
      <w:pPr>
        <w:rPr>
          <w:rFonts w:ascii="仿宋_GB2312" w:eastAsia="仿宋_GB2312"/>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p>
    <w:p>
      <w:pPr>
        <w:rPr>
          <w:rFonts w:ascii="仿宋_GB2312" w:eastAsia="仿宋_GB2312"/>
          <w:b/>
          <w:sz w:val="32"/>
          <w:szCs w:val="32"/>
        </w:rPr>
      </w:pPr>
      <w:r>
        <w:rPr>
          <w:rFonts w:hint="eastAsia" w:ascii="仿宋_GB2312" w:eastAsia="仿宋_GB2312"/>
          <w:b/>
          <w:sz w:val="32"/>
          <w:szCs w:val="32"/>
        </w:rPr>
        <w:t>评分标准</w:t>
      </w:r>
    </w:p>
    <w:tbl>
      <w:tblPr>
        <w:tblStyle w:val="11"/>
        <w:tblW w:w="907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320"/>
        <w:gridCol w:w="1056"/>
        <w:gridCol w:w="432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评分</w:t>
            </w:r>
          </w:p>
          <w:p>
            <w:pPr>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因素</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分　值</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评分标准</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
                <w:bCs/>
                <w:color w:val="000000"/>
                <w:sz w:val="24"/>
                <w:szCs w:val="24"/>
              </w:rPr>
            </w:pPr>
            <w:r>
              <w:rPr>
                <w:rFonts w:hint="eastAsia" w:ascii="仿宋_GB2312" w:hAnsi="宋体" w:eastAsia="仿宋_GB2312" w:cs="Times New Roman"/>
                <w:b/>
                <w:bCs/>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报价</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50分</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仿宋_GB2312" w:hAnsi="仿宋_GB2312" w:eastAsia="仿宋_GB2312" w:cs="仿宋_GB2312"/>
                <w:bCs/>
                <w:color w:val="000000"/>
                <w:sz w:val="24"/>
                <w:szCs w:val="24"/>
              </w:rPr>
            </w:pPr>
            <w:r>
              <w:rPr>
                <w:rFonts w:hint="eastAsia" w:ascii="仿宋_GB2312" w:hAnsi="仿宋_GB2312" w:eastAsia="仿宋_GB2312" w:cs="仿宋_GB2312"/>
                <w:szCs w:val="21"/>
              </w:rPr>
              <w:t>本次有效报价总价平均价最低的为基准价，投标报价得分=（基准价／投标报价）×50。</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9"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2</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服务承诺</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30分</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安全文明施工承诺和派遣参与维修工作人员人身意外伤害商业保险承诺。（本项5分；不购买人身意外伤害商业保险本大项30分不得分）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维修响应时间暨到达现场展开维修时间：时间最短得5分；第二名得3分；第三名1分。只计算前三名。（本项5分）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维修使用的主要材料须符合现行国家标准，不得使用三无产品。（本项5分）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服从发包方指派的工作任务，服从发包方在维修过程中的监督管理。（本项5分）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质量保证。（本项5分）</w:t>
            </w:r>
          </w:p>
          <w:p>
            <w:pPr>
              <w:widowControl w:val="0"/>
              <w:numPr>
                <w:ilvl w:val="0"/>
                <w:numId w:val="1"/>
              </w:numPr>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其它服务承诺。（本项5分）</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3</w:t>
            </w:r>
          </w:p>
        </w:tc>
        <w:tc>
          <w:tcPr>
            <w:tcW w:w="1320"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服务承诺可行性</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15分</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ind w:firstLine="440" w:firstLineChars="200"/>
              <w:jc w:val="both"/>
              <w:rPr>
                <w:rFonts w:ascii="仿宋_GB2312" w:hAnsi="仿宋_GB2312" w:eastAsia="仿宋_GB2312" w:cs="仿宋_GB2312"/>
                <w:szCs w:val="21"/>
              </w:rPr>
            </w:pPr>
            <w:r>
              <w:rPr>
                <w:rFonts w:hint="eastAsia" w:ascii="仿宋_GB2312" w:hAnsi="仿宋_GB2312" w:eastAsia="仿宋_GB2312" w:cs="仿宋_GB2312"/>
                <w:szCs w:val="21"/>
              </w:rPr>
              <w:t>根据投标人服务承诺在可行性、实用性、便捷性以及与实际情况的吻合程度由评标小组综合考量评分（本项15分。完全符合15分；基本符合：10分，不符合不得分）。</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77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4</w:t>
            </w:r>
          </w:p>
        </w:tc>
        <w:tc>
          <w:tcPr>
            <w:tcW w:w="1320"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color w:val="000000"/>
                <w:sz w:val="24"/>
                <w:szCs w:val="24"/>
              </w:rPr>
            </w:pPr>
            <w:r>
              <w:rPr>
                <w:rFonts w:hint="eastAsia" w:ascii="仿宋_GB2312" w:hAnsi="仿宋_GB2312" w:eastAsia="仿宋_GB2312" w:cs="仿宋_GB2312"/>
                <w:sz w:val="24"/>
                <w:szCs w:val="24"/>
              </w:rPr>
              <w:t>投标文件的规范性</w:t>
            </w:r>
          </w:p>
        </w:tc>
        <w:tc>
          <w:tcPr>
            <w:tcW w:w="105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bCs/>
                <w:color w:val="000000"/>
                <w:sz w:val="24"/>
                <w:szCs w:val="24"/>
              </w:rPr>
            </w:pPr>
            <w:r>
              <w:rPr>
                <w:rFonts w:hint="eastAsia" w:ascii="仿宋_GB2312" w:hAnsi="仿宋_GB2312" w:eastAsia="仿宋_GB2312" w:cs="仿宋_GB2312"/>
                <w:bCs/>
                <w:color w:val="000000"/>
                <w:sz w:val="24"/>
                <w:szCs w:val="24"/>
              </w:rPr>
              <w:t>5分</w:t>
            </w:r>
          </w:p>
        </w:tc>
        <w:tc>
          <w:tcPr>
            <w:tcW w:w="432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both"/>
              <w:rPr>
                <w:rFonts w:ascii="仿宋_GB2312" w:hAnsi="仿宋_GB2312" w:eastAsia="仿宋_GB2312" w:cs="仿宋_GB2312"/>
                <w:szCs w:val="21"/>
              </w:rPr>
            </w:pPr>
            <w:r>
              <w:rPr>
                <w:rFonts w:hint="eastAsia" w:ascii="仿宋_GB2312" w:hAnsi="仿宋_GB2312" w:eastAsia="仿宋_GB2312" w:cs="仿宋_GB2312"/>
                <w:szCs w:val="21"/>
              </w:rPr>
              <w:t>投标文件是否按要求准备齐全（投标文件须胶装）缺一样扣1分。</w:t>
            </w:r>
          </w:p>
        </w:tc>
        <w:tc>
          <w:tcPr>
            <w:tcW w:w="1602" w:type="dxa"/>
            <w:tcBorders>
              <w:top w:val="single" w:color="auto" w:sz="4" w:space="0"/>
              <w:left w:val="single" w:color="auto" w:sz="4" w:space="0"/>
              <w:bottom w:val="single" w:color="auto" w:sz="4" w:space="0"/>
              <w:right w:val="single" w:color="auto" w:sz="4" w:space="0"/>
            </w:tcBorders>
            <w:vAlign w:val="center"/>
          </w:tcPr>
          <w:p>
            <w:pPr>
              <w:widowControl w:val="0"/>
              <w:spacing w:line="276" w:lineRule="auto"/>
              <w:jc w:val="center"/>
              <w:rPr>
                <w:rFonts w:ascii="仿宋_GB2312" w:hAnsi="宋体" w:eastAsia="仿宋_GB2312" w:cs="Times New Roman"/>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9072" w:type="dxa"/>
            <w:gridSpan w:val="5"/>
            <w:tcBorders>
              <w:top w:val="single" w:color="auto" w:sz="4" w:space="0"/>
              <w:left w:val="single" w:color="auto" w:sz="4" w:space="0"/>
              <w:bottom w:val="single" w:color="auto" w:sz="4" w:space="0"/>
              <w:right w:val="single" w:color="auto" w:sz="4" w:space="0"/>
            </w:tcBorders>
            <w:vAlign w:val="center"/>
          </w:tcPr>
          <w:p>
            <w:pPr>
              <w:widowControl w:val="0"/>
              <w:spacing w:line="276" w:lineRule="auto"/>
              <w:rPr>
                <w:rFonts w:ascii="仿宋_GB2312" w:hAnsi="宋体" w:eastAsia="仿宋_GB2312" w:cs="Times New Roman"/>
                <w:bCs/>
                <w:color w:val="000000"/>
                <w:sz w:val="24"/>
                <w:szCs w:val="24"/>
              </w:rPr>
            </w:pPr>
            <w:r>
              <w:rPr>
                <w:rFonts w:hint="eastAsia" w:ascii="仿宋_GB2312" w:hAnsi="仿宋_GB2312" w:eastAsia="仿宋_GB2312" w:cs="仿宋_GB2312"/>
                <w:szCs w:val="21"/>
              </w:rPr>
              <w:t>注：本表中要求提供的材料，均需加盖供应商单位公章，否则将不认可该项材料的有效性。</w:t>
            </w:r>
          </w:p>
        </w:tc>
      </w:tr>
    </w:tbl>
    <w:p>
      <w:pPr>
        <w:spacing w:after="0" w:line="440" w:lineRule="exact"/>
        <w:ind w:left="2080" w:hanging="2080" w:hangingChars="650"/>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220" w:lineRule="atLeast"/>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四川护理职业学院日常小型零星维修服务</w:t>
      </w:r>
    </w:p>
    <w:p>
      <w:pPr>
        <w:spacing w:after="0" w:line="220" w:lineRule="atLeast"/>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（成都校区）报价单</w:t>
      </w:r>
    </w:p>
    <w:p>
      <w:pPr>
        <w:spacing w:after="0" w:line="220" w:lineRule="atLeast"/>
        <w:jc w:val="center"/>
        <w:rPr>
          <w:rFonts w:asciiTheme="minorEastAsia" w:hAnsiTheme="minorEastAsia" w:eastAsiaTheme="minorEastAsia"/>
          <w:b/>
          <w:sz w:val="36"/>
          <w:szCs w:val="36"/>
        </w:rPr>
      </w:pPr>
    </w:p>
    <w:p>
      <w:pPr>
        <w:spacing w:after="0" w:line="220" w:lineRule="atLeast"/>
        <w:ind w:firstLine="1626" w:firstLineChars="450"/>
        <w:rPr>
          <w:rFonts w:asciiTheme="minorEastAsia" w:hAnsiTheme="minorEastAsia" w:eastAsiaTheme="minorEastAsia"/>
          <w:b/>
          <w:sz w:val="36"/>
          <w:szCs w:val="36"/>
        </w:rPr>
      </w:pPr>
    </w:p>
    <w:p>
      <w:pPr>
        <w:spacing w:after="0" w:line="220" w:lineRule="atLeast"/>
        <w:rPr>
          <w:rFonts w:ascii="仿宋_GB2312" w:hAnsi="仿宋_GB2312" w:eastAsia="仿宋_GB2312" w:cs="仿宋_GB2312"/>
          <w:sz w:val="32"/>
          <w:szCs w:val="32"/>
        </w:rPr>
      </w:pPr>
      <w:r>
        <w:rPr>
          <w:rFonts w:hint="eastAsia" w:ascii="仿宋_GB2312" w:hAnsi="仿宋_GB2312" w:eastAsia="仿宋_GB2312" w:cs="仿宋_GB2312"/>
          <w:sz w:val="28"/>
          <w:szCs w:val="28"/>
        </w:rPr>
        <w:t>投标人名称： （公章）                              单位：元</w:t>
      </w:r>
    </w:p>
    <w:tbl>
      <w:tblPr>
        <w:tblStyle w:val="12"/>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478"/>
        <w:gridCol w:w="1839"/>
        <w:gridCol w:w="1176"/>
        <w:gridCol w:w="615"/>
        <w:gridCol w:w="660"/>
        <w:gridCol w:w="129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475"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序号</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维修项目</w:t>
            </w:r>
          </w:p>
        </w:tc>
        <w:tc>
          <w:tcPr>
            <w:tcW w:w="3015" w:type="dxa"/>
            <w:gridSpan w:val="2"/>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服务要求</w:t>
            </w:r>
          </w:p>
        </w:tc>
        <w:tc>
          <w:tcPr>
            <w:tcW w:w="615"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单位</w:t>
            </w:r>
          </w:p>
        </w:tc>
        <w:tc>
          <w:tcPr>
            <w:tcW w:w="660"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数量</w:t>
            </w:r>
          </w:p>
        </w:tc>
        <w:tc>
          <w:tcPr>
            <w:tcW w:w="1290"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报价</w:t>
            </w:r>
          </w:p>
          <w:p>
            <w:pPr>
              <w:spacing w:after="0" w:line="440" w:lineRule="exact"/>
              <w:jc w:val="center"/>
              <w:rPr>
                <w:rFonts w:ascii="黑体" w:hAnsi="黑体" w:eastAsia="黑体" w:cs="黑体"/>
                <w:sz w:val="24"/>
                <w:szCs w:val="24"/>
              </w:rPr>
            </w:pPr>
          </w:p>
        </w:tc>
        <w:tc>
          <w:tcPr>
            <w:tcW w:w="1380"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最高</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限价</w:t>
            </w:r>
          </w:p>
          <w:p>
            <w:pPr>
              <w:spacing w:after="0" w:line="440" w:lineRule="exact"/>
              <w:jc w:val="center"/>
              <w:rPr>
                <w:rFonts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配钥匙A</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1.普通钥匙（所有类型锁，投标商综合考虑）</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2.上门取钥匙样品</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把</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配钥匙B</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1.防盗门钥匙（所有类型锁，投标商综合考虑）</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2.上门取钥匙样品</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把</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3</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换锁A</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普通门锁（球型、牛头等所有类型锁，投标商综合考虑）</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4</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换锁B</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防盗门锁（所有类型锁，投标商综合考虑）</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5</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开锁</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所有类型锁并提供7*24小时服务</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6</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换装雨、污</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复合井盖</w:t>
            </w:r>
          </w:p>
        </w:tc>
        <w:tc>
          <w:tcPr>
            <w:tcW w:w="3015" w:type="dxa"/>
            <w:gridSpan w:val="2"/>
            <w:vAlign w:val="center"/>
          </w:tcPr>
          <w:p>
            <w:pPr>
              <w:spacing w:after="0" w:line="440" w:lineRule="exact"/>
              <w:jc w:val="both"/>
              <w:rPr>
                <w:rFonts w:ascii="仿宋_GB2312" w:eastAsia="仿宋_GB2312" w:hAnsiTheme="majorEastAsia"/>
                <w:sz w:val="21"/>
                <w:szCs w:val="21"/>
              </w:rPr>
            </w:pPr>
            <w:r>
              <w:rPr>
                <w:rFonts w:hint="eastAsia" w:ascii="仿宋_GB2312" w:eastAsia="仿宋_GB2312" w:hAnsiTheme="majorEastAsia"/>
                <w:sz w:val="21"/>
                <w:szCs w:val="21"/>
              </w:rPr>
              <w:t>1.所有尺寸（投标商综合考虑）</w:t>
            </w:r>
          </w:p>
          <w:p>
            <w:pPr>
              <w:spacing w:after="0" w:line="440" w:lineRule="exact"/>
              <w:jc w:val="both"/>
              <w:rPr>
                <w:rFonts w:ascii="仿宋_GB2312" w:eastAsia="仿宋_GB2312" w:hAnsiTheme="majorEastAsia"/>
                <w:sz w:val="21"/>
                <w:szCs w:val="21"/>
              </w:rPr>
            </w:pPr>
            <w:r>
              <w:rPr>
                <w:rFonts w:hint="eastAsia" w:ascii="仿宋_GB2312" w:eastAsia="仿宋_GB2312" w:hAnsiTheme="majorEastAsia"/>
                <w:sz w:val="21"/>
                <w:szCs w:val="21"/>
              </w:rPr>
              <w:t>2.承重≧</w:t>
            </w:r>
            <w:r>
              <w:rPr>
                <w:rFonts w:hint="eastAsia" w:ascii="仿宋_GB2312" w:eastAsia="仿宋_GB2312" w:hAnsiTheme="majorEastAsia"/>
                <w:sz w:val="21"/>
                <w:szCs w:val="21"/>
                <w:lang w:val="en-US" w:eastAsia="zh-CN"/>
              </w:rPr>
              <w:t>1</w:t>
            </w:r>
            <w:r>
              <w:rPr>
                <w:rFonts w:hint="eastAsia" w:ascii="仿宋_GB2312" w:eastAsia="仿宋_GB2312" w:hAnsiTheme="majorEastAsia"/>
                <w:sz w:val="21"/>
                <w:szCs w:val="21"/>
              </w:rPr>
              <w:t>0吨</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7</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换装复合</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水篦子</w:t>
            </w:r>
          </w:p>
        </w:tc>
        <w:tc>
          <w:tcPr>
            <w:tcW w:w="3015" w:type="dxa"/>
            <w:gridSpan w:val="2"/>
            <w:vAlign w:val="center"/>
          </w:tcPr>
          <w:p>
            <w:pPr>
              <w:spacing w:after="0" w:line="440" w:lineRule="exact"/>
              <w:jc w:val="both"/>
              <w:rPr>
                <w:rFonts w:ascii="仿宋_GB2312" w:eastAsia="仿宋_GB2312" w:hAnsiTheme="majorEastAsia"/>
                <w:sz w:val="21"/>
                <w:szCs w:val="21"/>
              </w:rPr>
            </w:pPr>
            <w:r>
              <w:rPr>
                <w:rFonts w:hint="eastAsia" w:ascii="仿宋_GB2312" w:eastAsia="仿宋_GB2312" w:hAnsiTheme="majorEastAsia"/>
                <w:sz w:val="21"/>
                <w:szCs w:val="21"/>
              </w:rPr>
              <w:t>1.所有尺寸（投标商综合考虑）</w:t>
            </w:r>
          </w:p>
          <w:p>
            <w:pPr>
              <w:spacing w:after="0" w:line="440" w:lineRule="exact"/>
              <w:jc w:val="both"/>
              <w:rPr>
                <w:rFonts w:ascii="仿宋_GB2312" w:eastAsia="仿宋_GB2312" w:hAnsiTheme="majorEastAsia"/>
                <w:sz w:val="21"/>
                <w:szCs w:val="21"/>
              </w:rPr>
            </w:pPr>
            <w:r>
              <w:rPr>
                <w:rFonts w:hint="eastAsia" w:ascii="仿宋_GB2312" w:eastAsia="仿宋_GB2312" w:hAnsiTheme="majorEastAsia"/>
                <w:sz w:val="21"/>
                <w:szCs w:val="21"/>
              </w:rPr>
              <w:t>2.承重≧2吨</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8</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更换钢制门</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（单开）</w:t>
            </w:r>
          </w:p>
        </w:tc>
        <w:tc>
          <w:tcPr>
            <w:tcW w:w="3015" w:type="dxa"/>
            <w:gridSpan w:val="2"/>
          </w:tcPr>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1.原门拆除。</w:t>
            </w:r>
          </w:p>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2.对损坏的门框进行恢复。</w:t>
            </w:r>
          </w:p>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3.含门框、锁具。</w:t>
            </w:r>
          </w:p>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4.门板材料厚度</w:t>
            </w:r>
            <w:r>
              <w:rPr>
                <w:rFonts w:hint="eastAsia" w:ascii="宋体" w:hAnsi="宋体" w:eastAsia="宋体" w:cs="宋体"/>
                <w:sz w:val="21"/>
                <w:szCs w:val="21"/>
              </w:rPr>
              <w:t>≧</w:t>
            </w:r>
            <w:r>
              <w:rPr>
                <w:rFonts w:hint="eastAsia" w:ascii="仿宋_GB2312" w:eastAsia="仿宋_GB2312" w:hAnsiTheme="majorEastAsia"/>
                <w:sz w:val="21"/>
                <w:szCs w:val="21"/>
              </w:rPr>
              <w:t>0.</w:t>
            </w:r>
            <w:r>
              <w:rPr>
                <w:rFonts w:hint="eastAsia" w:ascii="仿宋_GB2312" w:eastAsia="仿宋_GB2312" w:hAnsiTheme="majorEastAsia"/>
                <w:sz w:val="21"/>
                <w:szCs w:val="21"/>
                <w:lang w:val="en-US" w:eastAsia="zh-CN"/>
              </w:rPr>
              <w:t>8</w:t>
            </w:r>
            <w:r>
              <w:rPr>
                <w:rFonts w:hint="eastAsia" w:ascii="仿宋_GB2312" w:eastAsia="仿宋_GB2312" w:hAnsiTheme="majorEastAsia"/>
                <w:sz w:val="21"/>
                <w:szCs w:val="21"/>
              </w:rPr>
              <w:t>mm。</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樘</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32"/>
                <w:szCs w:val="32"/>
              </w:rPr>
            </w:pPr>
            <w:r>
              <w:rPr>
                <w:rFonts w:hint="eastAsia" w:ascii="黑体" w:hAnsi="黑体" w:eastAsia="黑体" w:cs="黑体"/>
                <w:sz w:val="21"/>
                <w:szCs w:val="21"/>
              </w:rPr>
              <w:t>1250.00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9</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更换钢制门</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（双开）</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1.原门拆除</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2.对损坏的门框进行恢复</w:t>
            </w:r>
          </w:p>
          <w:p>
            <w:pPr>
              <w:tabs>
                <w:tab w:val="left" w:pos="312"/>
              </w:tabs>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3.含门框、锁具。</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4.门板材料厚度</w:t>
            </w:r>
            <w:r>
              <w:rPr>
                <w:rFonts w:hint="eastAsia" w:ascii="宋体" w:hAnsi="宋体" w:eastAsia="宋体" w:cs="宋体"/>
                <w:sz w:val="21"/>
                <w:szCs w:val="21"/>
              </w:rPr>
              <w:t>≧</w:t>
            </w:r>
            <w:r>
              <w:rPr>
                <w:rFonts w:hint="eastAsia" w:ascii="仿宋_GB2312" w:eastAsia="仿宋_GB2312" w:hAnsiTheme="majorEastAsia"/>
                <w:sz w:val="21"/>
                <w:szCs w:val="21"/>
              </w:rPr>
              <w:t>0.</w:t>
            </w:r>
            <w:r>
              <w:rPr>
                <w:rFonts w:hint="eastAsia" w:ascii="仿宋_GB2312" w:eastAsia="仿宋_GB2312" w:hAnsiTheme="majorEastAsia"/>
                <w:sz w:val="21"/>
                <w:szCs w:val="21"/>
                <w:lang w:val="en-US" w:eastAsia="zh-CN"/>
              </w:rPr>
              <w:t>8</w:t>
            </w:r>
            <w:r>
              <w:rPr>
                <w:rFonts w:hint="eastAsia" w:ascii="仿宋_GB2312" w:eastAsia="仿宋_GB2312" w:hAnsiTheme="majorEastAsia"/>
                <w:sz w:val="21"/>
                <w:szCs w:val="21"/>
              </w:rPr>
              <w:t>mm。</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樘</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32"/>
                <w:szCs w:val="32"/>
              </w:rPr>
            </w:pPr>
            <w:r>
              <w:rPr>
                <w:rFonts w:hint="eastAsia" w:ascii="黑体" w:hAnsi="黑体" w:eastAsia="黑体" w:cs="黑体"/>
                <w:sz w:val="21"/>
                <w:szCs w:val="21"/>
              </w:rPr>
              <w:t>2250.00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10</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墙面粉刷</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翻新</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1.剔除原破损墙面</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2.刮腻子修复</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3.一底二面乳胶漆</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32"/>
                <w:szCs w:val="32"/>
              </w:rPr>
            </w:pPr>
            <w:r>
              <w:rPr>
                <w:rFonts w:hint="eastAsia" w:ascii="黑体" w:hAnsi="黑体" w:eastAsia="黑体" w:cs="黑体"/>
                <w:sz w:val="21"/>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11</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防锈漆</w:t>
            </w:r>
          </w:p>
        </w:tc>
        <w:tc>
          <w:tcPr>
            <w:tcW w:w="3015" w:type="dxa"/>
            <w:gridSpan w:val="2"/>
          </w:tcPr>
          <w:p>
            <w:pPr>
              <w:numPr>
                <w:ilvl w:val="0"/>
                <w:numId w:val="2"/>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清理原底面</w:t>
            </w:r>
          </w:p>
          <w:p>
            <w:pPr>
              <w:numPr>
                <w:ilvl w:val="0"/>
                <w:numId w:val="2"/>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一底二面</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12</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室内防水</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处理</w:t>
            </w:r>
          </w:p>
        </w:tc>
        <w:tc>
          <w:tcPr>
            <w:tcW w:w="3015" w:type="dxa"/>
            <w:gridSpan w:val="2"/>
          </w:tcPr>
          <w:p>
            <w:pPr>
              <w:numPr>
                <w:ilvl w:val="0"/>
                <w:numId w:val="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拆除原墙、地面</w:t>
            </w:r>
          </w:p>
          <w:p>
            <w:pPr>
              <w:numPr>
                <w:ilvl w:val="0"/>
                <w:numId w:val="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新做丙纶防水材料2层</w:t>
            </w:r>
          </w:p>
          <w:p>
            <w:pPr>
              <w:numPr>
                <w:ilvl w:val="0"/>
                <w:numId w:val="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恢复原地墙、面</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320.00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13</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砖砌体</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包括抹灰面</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3</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14</w:t>
            </w:r>
          </w:p>
        </w:tc>
        <w:tc>
          <w:tcPr>
            <w:tcW w:w="1478" w:type="dxa"/>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不锈钢防</w:t>
            </w:r>
          </w:p>
          <w:p>
            <w:pPr>
              <w:spacing w:after="0" w:line="440" w:lineRule="exact"/>
              <w:jc w:val="center"/>
              <w:rPr>
                <w:rFonts w:ascii="仿宋_GB2312" w:eastAsia="仿宋_GB2312" w:hAnsiTheme="majorEastAsia"/>
                <w:sz w:val="24"/>
                <w:szCs w:val="24"/>
              </w:rPr>
            </w:pPr>
            <w:r>
              <w:rPr>
                <w:rFonts w:hint="eastAsia" w:ascii="黑体" w:hAnsi="黑体" w:eastAsia="黑体" w:cs="黑体"/>
                <w:sz w:val="24"/>
                <w:szCs w:val="24"/>
              </w:rPr>
              <w:t>护栏</w:t>
            </w:r>
          </w:p>
        </w:tc>
        <w:tc>
          <w:tcPr>
            <w:tcW w:w="3015" w:type="dxa"/>
            <w:gridSpan w:val="2"/>
          </w:tcPr>
          <w:p>
            <w:pPr>
              <w:numPr>
                <w:ilvl w:val="0"/>
                <w:numId w:val="4"/>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不锈钢20</w:t>
            </w:r>
            <w:r>
              <w:rPr>
                <w:rFonts w:hint="eastAsia" w:ascii="仿宋_GB2312" w:eastAsia="仿宋_GB2312" w:hAnsiTheme="majorEastAsia"/>
                <w:sz w:val="24"/>
                <w:szCs w:val="24"/>
                <w:lang w:val="en-US" w:eastAsia="zh-CN"/>
              </w:rPr>
              <w:t>1</w:t>
            </w:r>
            <w:r>
              <w:rPr>
                <w:rFonts w:hint="eastAsia" w:ascii="仿宋_GB2312" w:eastAsia="仿宋_GB2312" w:hAnsiTheme="majorEastAsia"/>
                <w:sz w:val="24"/>
                <w:szCs w:val="24"/>
              </w:rPr>
              <w:t>A</w:t>
            </w:r>
          </w:p>
          <w:p>
            <w:pPr>
              <w:numPr>
                <w:ilvl w:val="0"/>
                <w:numId w:val="4"/>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管材厚度0.8mm</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15</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矩管防护</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栏和门</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1.镀锌管</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2.管材厚度</w:t>
            </w:r>
            <w:r>
              <w:rPr>
                <w:rFonts w:hint="eastAsia" w:ascii="宋体" w:hAnsi="宋体" w:eastAsia="宋体" w:cs="宋体"/>
                <w:sz w:val="21"/>
                <w:szCs w:val="21"/>
              </w:rPr>
              <w:t>≧</w:t>
            </w:r>
            <w:r>
              <w:rPr>
                <w:rFonts w:hint="eastAsia" w:ascii="仿宋_GB2312" w:eastAsia="仿宋_GB2312" w:hAnsiTheme="majorEastAsia"/>
                <w:sz w:val="21"/>
                <w:szCs w:val="21"/>
              </w:rPr>
              <w:t>0.8mm</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3.刷防锈漆</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16</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铝合金门窗（含钢化玻璃）</w:t>
            </w:r>
          </w:p>
        </w:tc>
        <w:tc>
          <w:tcPr>
            <w:tcW w:w="3015" w:type="dxa"/>
            <w:gridSpan w:val="2"/>
          </w:tcPr>
          <w:p>
            <w:pPr>
              <w:numPr>
                <w:ilvl w:val="0"/>
                <w:numId w:val="5"/>
              </w:numPr>
              <w:spacing w:after="0"/>
              <w:rPr>
                <w:rFonts w:ascii="仿宋_GB2312" w:eastAsia="仿宋_GB2312" w:hAnsiTheme="majorEastAsia"/>
                <w:sz w:val="21"/>
                <w:szCs w:val="21"/>
              </w:rPr>
            </w:pPr>
            <w:r>
              <w:rPr>
                <w:rFonts w:hint="eastAsia" w:ascii="仿宋_GB2312" w:eastAsia="仿宋_GB2312" w:hAnsiTheme="majorEastAsia"/>
                <w:sz w:val="21"/>
                <w:szCs w:val="21"/>
              </w:rPr>
              <w:t>铝合金型材厚度</w:t>
            </w:r>
            <w:r>
              <w:rPr>
                <w:rFonts w:hint="eastAsia" w:ascii="宋体" w:hAnsi="宋体" w:eastAsia="宋体" w:cs="宋体"/>
                <w:sz w:val="21"/>
                <w:szCs w:val="21"/>
              </w:rPr>
              <w:t>≧</w:t>
            </w:r>
            <w:r>
              <w:rPr>
                <w:rFonts w:hint="eastAsia" w:ascii="仿宋_GB2312" w:eastAsia="仿宋_GB2312" w:hAnsiTheme="majorEastAsia"/>
                <w:sz w:val="21"/>
                <w:szCs w:val="21"/>
              </w:rPr>
              <w:t>1.2mm</w:t>
            </w:r>
          </w:p>
          <w:p>
            <w:pPr>
              <w:numPr>
                <w:ilvl w:val="0"/>
                <w:numId w:val="5"/>
              </w:numPr>
              <w:spacing w:after="0"/>
              <w:rPr>
                <w:rFonts w:ascii="仿宋_GB2312" w:eastAsia="仿宋_GB2312" w:hAnsiTheme="majorEastAsia"/>
                <w:sz w:val="21"/>
                <w:szCs w:val="21"/>
              </w:rPr>
            </w:pPr>
            <w:r>
              <w:rPr>
                <w:rFonts w:hint="eastAsia" w:ascii="仿宋_GB2312" w:eastAsia="仿宋_GB2312" w:hAnsiTheme="majorEastAsia"/>
                <w:sz w:val="21"/>
                <w:szCs w:val="21"/>
              </w:rPr>
              <w:t>双面钢化中空玻璃</w:t>
            </w:r>
            <w:r>
              <w:rPr>
                <w:rFonts w:hint="eastAsia" w:ascii="宋体" w:hAnsi="宋体" w:eastAsia="宋体" w:cs="宋体"/>
                <w:sz w:val="21"/>
                <w:szCs w:val="21"/>
              </w:rPr>
              <w:t>≧</w:t>
            </w:r>
            <w:r>
              <w:rPr>
                <w:rFonts w:hint="eastAsia" w:ascii="仿宋_GB2312" w:eastAsia="仿宋_GB2312" w:hAnsiTheme="majorEastAsia"/>
                <w:sz w:val="21"/>
                <w:szCs w:val="21"/>
              </w:rPr>
              <w:t>5+6A+5</w:t>
            </w:r>
          </w:p>
        </w:tc>
        <w:tc>
          <w:tcPr>
            <w:tcW w:w="615" w:type="dxa"/>
            <w:vAlign w:val="center"/>
          </w:tcPr>
          <w:p>
            <w:pPr>
              <w:spacing w:after="0" w:line="440" w:lineRule="exact"/>
              <w:jc w:val="center"/>
              <w:rPr>
                <w:rFonts w:ascii="仿宋_GB2312" w:eastAsia="仿宋_GB2312" w:hAnsiTheme="majorEastAsia"/>
                <w:sz w:val="24"/>
                <w:szCs w:val="24"/>
                <w:vertAlign w:val="superscript"/>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vertAlign w:val="superscript"/>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17</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破除和恢复</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砼地面</w:t>
            </w:r>
          </w:p>
        </w:tc>
        <w:tc>
          <w:tcPr>
            <w:tcW w:w="3015" w:type="dxa"/>
            <w:gridSpan w:val="2"/>
          </w:tcPr>
          <w:p>
            <w:pPr>
              <w:spacing w:after="0"/>
              <w:rPr>
                <w:rFonts w:ascii="仿宋_GB2312" w:eastAsia="仿宋_GB2312" w:hAnsiTheme="majorEastAsia"/>
                <w:sz w:val="21"/>
                <w:szCs w:val="21"/>
              </w:rPr>
            </w:pPr>
            <w:r>
              <w:rPr>
                <w:rFonts w:hint="eastAsia" w:ascii="仿宋_GB2312" w:eastAsia="仿宋_GB2312" w:hAnsiTheme="majorEastAsia"/>
                <w:sz w:val="21"/>
                <w:szCs w:val="21"/>
              </w:rPr>
              <w:t>1.20cm厚度以内包干所有原材料</w:t>
            </w:r>
          </w:p>
          <w:p>
            <w:pPr>
              <w:spacing w:after="0"/>
              <w:rPr>
                <w:rFonts w:ascii="仿宋_GB2312" w:eastAsia="仿宋_GB2312" w:hAnsiTheme="majorEastAsia"/>
                <w:sz w:val="21"/>
                <w:szCs w:val="21"/>
              </w:rPr>
            </w:pPr>
            <w:r>
              <w:rPr>
                <w:rFonts w:hint="eastAsia" w:ascii="仿宋_GB2312" w:eastAsia="仿宋_GB2312" w:hAnsiTheme="majorEastAsia"/>
                <w:sz w:val="21"/>
                <w:szCs w:val="21"/>
              </w:rPr>
              <w:t>2.水泥强度</w:t>
            </w:r>
            <w:r>
              <w:rPr>
                <w:rFonts w:hint="eastAsia" w:ascii="宋体" w:hAnsi="宋体" w:eastAsia="宋体" w:cs="宋体"/>
                <w:sz w:val="21"/>
                <w:szCs w:val="21"/>
              </w:rPr>
              <w:t>≧</w:t>
            </w:r>
            <w:r>
              <w:rPr>
                <w:rFonts w:hint="eastAsia" w:ascii="仿宋_GB2312" w:eastAsia="仿宋_GB2312" w:hAnsiTheme="majorEastAsia"/>
                <w:sz w:val="21"/>
                <w:szCs w:val="21"/>
              </w:rPr>
              <w:t>C20</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18</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墙、地砖修补</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1.剔除原砖（所有类型砖；投标商综合考虑）</w:t>
            </w:r>
          </w:p>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2.粘贴新砖</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19</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安装</w:t>
            </w:r>
          </w:p>
          <w:p>
            <w:pPr>
              <w:spacing w:after="0" w:line="440" w:lineRule="exact"/>
              <w:jc w:val="center"/>
              <w:rPr>
                <w:rFonts w:ascii="黑体" w:hAnsi="黑体" w:eastAsia="黑体" w:cs="黑体"/>
                <w:sz w:val="24"/>
                <w:szCs w:val="24"/>
              </w:rPr>
            </w:pPr>
            <w:r>
              <w:rPr>
                <w:rFonts w:hint="eastAsia" w:ascii="黑体" w:hAnsi="黑体" w:eastAsia="黑体" w:cs="黑体"/>
                <w:sz w:val="24"/>
                <w:szCs w:val="24"/>
              </w:rPr>
              <w:t>卫生间挂勾</w:t>
            </w:r>
          </w:p>
        </w:tc>
        <w:tc>
          <w:tcPr>
            <w:tcW w:w="3015" w:type="dxa"/>
            <w:gridSpan w:val="2"/>
          </w:tcPr>
          <w:p>
            <w:pPr>
              <w:numPr>
                <w:ilvl w:val="0"/>
                <w:numId w:val="6"/>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铝制</w:t>
            </w:r>
          </w:p>
          <w:p>
            <w:pPr>
              <w:numPr>
                <w:ilvl w:val="0"/>
                <w:numId w:val="6"/>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4-6勾</w:t>
            </w:r>
          </w:p>
          <w:p>
            <w:pPr>
              <w:numPr>
                <w:ilvl w:val="0"/>
                <w:numId w:val="6"/>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所有款型</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20</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空调加氟A</w:t>
            </w:r>
          </w:p>
        </w:tc>
        <w:tc>
          <w:tcPr>
            <w:tcW w:w="3015" w:type="dxa"/>
            <w:gridSpan w:val="2"/>
          </w:tcPr>
          <w:p>
            <w:pPr>
              <w:numPr>
                <w:ilvl w:val="0"/>
                <w:numId w:val="7"/>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氟R22</w:t>
            </w:r>
          </w:p>
          <w:p>
            <w:pPr>
              <w:numPr>
                <w:ilvl w:val="0"/>
                <w:numId w:val="7"/>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1P-2P所有机型</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台</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21</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空调加氟B</w:t>
            </w:r>
          </w:p>
        </w:tc>
        <w:tc>
          <w:tcPr>
            <w:tcW w:w="3015" w:type="dxa"/>
            <w:gridSpan w:val="2"/>
          </w:tcPr>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1.氟R22</w:t>
            </w:r>
          </w:p>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2.3P-5P所有机型</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台</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380.00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22</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空调移机A</w:t>
            </w:r>
          </w:p>
        </w:tc>
        <w:tc>
          <w:tcPr>
            <w:tcW w:w="3015" w:type="dxa"/>
            <w:gridSpan w:val="2"/>
          </w:tcPr>
          <w:p>
            <w:pPr>
              <w:tabs>
                <w:tab w:val="left" w:pos="312"/>
              </w:tabs>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1.壁挂机（1-2P所有机型）</w:t>
            </w:r>
          </w:p>
          <w:p>
            <w:pPr>
              <w:tabs>
                <w:tab w:val="left" w:pos="312"/>
              </w:tabs>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2.拆机</w:t>
            </w:r>
          </w:p>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3.重新安装</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台</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23</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空调移机B</w:t>
            </w:r>
          </w:p>
        </w:tc>
        <w:tc>
          <w:tcPr>
            <w:tcW w:w="3015" w:type="dxa"/>
            <w:gridSpan w:val="2"/>
          </w:tcPr>
          <w:p>
            <w:pPr>
              <w:tabs>
                <w:tab w:val="left" w:pos="312"/>
              </w:tabs>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1.柜机（3-5P所有机型）</w:t>
            </w:r>
          </w:p>
          <w:p>
            <w:pPr>
              <w:tabs>
                <w:tab w:val="left" w:pos="312"/>
              </w:tabs>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2.拆机</w:t>
            </w:r>
          </w:p>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3.重新安装</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台</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350.00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24</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地弹门地弹簧</w:t>
            </w:r>
          </w:p>
        </w:tc>
        <w:tc>
          <w:tcPr>
            <w:tcW w:w="3015" w:type="dxa"/>
            <w:gridSpan w:val="2"/>
          </w:tcPr>
          <w:p>
            <w:pPr>
              <w:numPr>
                <w:ilvl w:val="0"/>
                <w:numId w:val="8"/>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地弹簧整套（2个）</w:t>
            </w:r>
          </w:p>
          <w:p>
            <w:pPr>
              <w:numPr>
                <w:ilvl w:val="0"/>
                <w:numId w:val="8"/>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拆除损坏弹簧</w:t>
            </w:r>
          </w:p>
          <w:p>
            <w:pPr>
              <w:numPr>
                <w:ilvl w:val="0"/>
                <w:numId w:val="8"/>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更换新弹簧</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套</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25</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钻孔</w:t>
            </w:r>
          </w:p>
        </w:tc>
        <w:tc>
          <w:tcPr>
            <w:tcW w:w="3015" w:type="dxa"/>
            <w:gridSpan w:val="2"/>
          </w:tcPr>
          <w:p>
            <w:pPr>
              <w:numPr>
                <w:ilvl w:val="0"/>
                <w:numId w:val="9"/>
              </w:numPr>
              <w:spacing w:after="0" w:line="440" w:lineRule="exact"/>
              <w:rPr>
                <w:rFonts w:ascii="仿宋_GB2312" w:eastAsia="仿宋_GB2312" w:hAnsiTheme="majorEastAsia"/>
                <w:sz w:val="24"/>
                <w:szCs w:val="24"/>
              </w:rPr>
            </w:pPr>
            <w:r>
              <w:rPr>
                <w:rFonts w:hint="eastAsia" w:ascii="宋体" w:hAnsi="宋体" w:eastAsia="宋体" w:cs="宋体"/>
                <w:sz w:val="24"/>
                <w:szCs w:val="24"/>
              </w:rPr>
              <w:t>≦</w:t>
            </w:r>
            <w:r>
              <w:rPr>
                <w:rFonts w:hint="eastAsia" w:ascii="仿宋_GB2312" w:eastAsia="仿宋_GB2312" w:hAnsiTheme="majorEastAsia"/>
                <w:sz w:val="24"/>
                <w:szCs w:val="24"/>
              </w:rPr>
              <w:t>直径110</w:t>
            </w:r>
          </w:p>
          <w:p>
            <w:pPr>
              <w:numPr>
                <w:ilvl w:val="0"/>
                <w:numId w:val="9"/>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所有墙、地面类型</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个</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26</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单层彩钢瓦</w:t>
            </w:r>
          </w:p>
        </w:tc>
        <w:tc>
          <w:tcPr>
            <w:tcW w:w="3015" w:type="dxa"/>
            <w:gridSpan w:val="2"/>
          </w:tcPr>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所有规格（投标商综合考虑）</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27</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夹芯彩钢瓦</w:t>
            </w:r>
          </w:p>
        </w:tc>
        <w:tc>
          <w:tcPr>
            <w:tcW w:w="3015" w:type="dxa"/>
            <w:gridSpan w:val="2"/>
          </w:tcPr>
          <w:p>
            <w:pPr>
              <w:numPr>
                <w:ilvl w:val="0"/>
                <w:numId w:val="10"/>
              </w:numPr>
              <w:spacing w:after="0" w:line="440" w:lineRule="exact"/>
              <w:rPr>
                <w:rFonts w:ascii="宋体" w:hAnsi="宋体" w:eastAsia="宋体" w:cs="宋体"/>
                <w:sz w:val="21"/>
                <w:szCs w:val="21"/>
              </w:rPr>
            </w:pPr>
            <w:r>
              <w:rPr>
                <w:rFonts w:hint="eastAsia" w:ascii="仿宋_GB2312" w:eastAsia="仿宋_GB2312" w:hAnsiTheme="majorEastAsia"/>
                <w:sz w:val="24"/>
                <w:szCs w:val="24"/>
              </w:rPr>
              <w:t>所有规格（厚度</w:t>
            </w:r>
            <w:r>
              <w:rPr>
                <w:rFonts w:hint="eastAsia" w:ascii="宋体" w:hAnsi="宋体" w:eastAsia="宋体" w:cs="宋体"/>
                <w:sz w:val="21"/>
                <w:szCs w:val="21"/>
              </w:rPr>
              <w:t>≧50mm；</w:t>
            </w:r>
            <w:r>
              <w:rPr>
                <w:rFonts w:hint="eastAsia" w:ascii="仿宋_GB2312" w:eastAsia="仿宋_GB2312" w:hAnsiTheme="majorEastAsia"/>
                <w:sz w:val="24"/>
                <w:szCs w:val="24"/>
              </w:rPr>
              <w:t>投标商综合考虑）</w:t>
            </w:r>
          </w:p>
          <w:p>
            <w:pPr>
              <w:numPr>
                <w:ilvl w:val="0"/>
                <w:numId w:val="10"/>
              </w:numPr>
              <w:spacing w:after="0" w:line="440" w:lineRule="exact"/>
              <w:rPr>
                <w:rFonts w:ascii="宋体" w:hAnsi="宋体" w:eastAsia="宋体" w:cs="宋体"/>
                <w:sz w:val="21"/>
                <w:szCs w:val="21"/>
              </w:rPr>
            </w:pPr>
            <w:r>
              <w:rPr>
                <w:rFonts w:hint="eastAsia" w:ascii="宋体" w:hAnsi="宋体" w:eastAsia="宋体" w:cs="宋体"/>
                <w:sz w:val="21"/>
                <w:szCs w:val="21"/>
              </w:rPr>
              <w:t>防火材质夹芯</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28</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钢化玻璃更换</w:t>
            </w:r>
          </w:p>
        </w:tc>
        <w:tc>
          <w:tcPr>
            <w:tcW w:w="3015" w:type="dxa"/>
            <w:gridSpan w:val="2"/>
          </w:tcPr>
          <w:p>
            <w:pPr>
              <w:numPr>
                <w:ilvl w:val="0"/>
                <w:numId w:val="11"/>
              </w:numPr>
              <w:spacing w:after="0" w:line="440" w:lineRule="exact"/>
              <w:rPr>
                <w:rFonts w:ascii="宋体" w:hAnsi="宋体" w:eastAsia="宋体" w:cs="宋体"/>
                <w:sz w:val="21"/>
                <w:szCs w:val="21"/>
              </w:rPr>
            </w:pPr>
            <w:r>
              <w:rPr>
                <w:rFonts w:hint="eastAsia" w:ascii="宋体" w:hAnsi="宋体" w:eastAsia="宋体" w:cs="宋体"/>
                <w:sz w:val="21"/>
                <w:szCs w:val="21"/>
              </w:rPr>
              <w:t>拆除原玻璃</w:t>
            </w:r>
          </w:p>
          <w:p>
            <w:pPr>
              <w:numPr>
                <w:ilvl w:val="0"/>
                <w:numId w:val="11"/>
              </w:numPr>
              <w:spacing w:after="0" w:line="440" w:lineRule="exact"/>
              <w:rPr>
                <w:rFonts w:ascii="宋体" w:hAnsi="宋体" w:eastAsia="宋体" w:cs="宋体"/>
                <w:sz w:val="21"/>
                <w:szCs w:val="21"/>
              </w:rPr>
            </w:pPr>
            <w:r>
              <w:rPr>
                <w:rFonts w:hint="eastAsia" w:ascii="宋体" w:hAnsi="宋体" w:eastAsia="宋体" w:cs="宋体"/>
                <w:sz w:val="21"/>
                <w:szCs w:val="21"/>
              </w:rPr>
              <w:t>安装新玻璃</w:t>
            </w:r>
          </w:p>
          <w:p>
            <w:pPr>
              <w:numPr>
                <w:ilvl w:val="0"/>
                <w:numId w:val="11"/>
              </w:numPr>
              <w:spacing w:after="0" w:line="440" w:lineRule="exact"/>
              <w:rPr>
                <w:rFonts w:ascii="宋体" w:hAnsi="宋体" w:eastAsia="宋体" w:cs="宋体"/>
                <w:sz w:val="21"/>
                <w:szCs w:val="21"/>
              </w:rPr>
            </w:pPr>
            <w:r>
              <w:rPr>
                <w:rFonts w:hint="eastAsia" w:ascii="宋体" w:hAnsi="宋体" w:eastAsia="宋体" w:cs="宋体"/>
                <w:sz w:val="21"/>
                <w:szCs w:val="21"/>
              </w:rPr>
              <w:t>玻璃厚度≧5mm</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29</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石膏板吊顶</w:t>
            </w:r>
          </w:p>
        </w:tc>
        <w:tc>
          <w:tcPr>
            <w:tcW w:w="3015" w:type="dxa"/>
            <w:gridSpan w:val="2"/>
          </w:tcPr>
          <w:p>
            <w:pPr>
              <w:numPr>
                <w:ilvl w:val="0"/>
                <w:numId w:val="12"/>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拆除原顶面</w:t>
            </w:r>
          </w:p>
          <w:p>
            <w:pPr>
              <w:numPr>
                <w:ilvl w:val="0"/>
                <w:numId w:val="12"/>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制作和安装新顶面</w:t>
            </w:r>
          </w:p>
          <w:p>
            <w:pPr>
              <w:numPr>
                <w:ilvl w:val="0"/>
                <w:numId w:val="12"/>
              </w:num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所有规格和造型（投标商综合考虑）</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m</w:t>
            </w:r>
            <w:r>
              <w:rPr>
                <w:rFonts w:hint="eastAsia" w:ascii="仿宋_GB2312" w:eastAsia="仿宋_GB2312" w:hAnsiTheme="majorEastAsia"/>
                <w:sz w:val="24"/>
                <w:szCs w:val="24"/>
                <w:vertAlign w:val="superscript"/>
              </w:rPr>
              <w:t>2</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30</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零星用工</w:t>
            </w:r>
          </w:p>
        </w:tc>
        <w:tc>
          <w:tcPr>
            <w:tcW w:w="3015" w:type="dxa"/>
            <w:gridSpan w:val="2"/>
          </w:tcPr>
          <w:p>
            <w:p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所有工种类型（普工、技术工；</w:t>
            </w:r>
            <w:r>
              <w:rPr>
                <w:rFonts w:hint="eastAsia" w:ascii="仿宋_GB2312" w:eastAsia="仿宋_GB2312" w:hAnsiTheme="majorEastAsia"/>
                <w:sz w:val="24"/>
                <w:szCs w:val="24"/>
              </w:rPr>
              <w:t>投标商综合考虑</w:t>
            </w:r>
            <w:r>
              <w:rPr>
                <w:rFonts w:hint="eastAsia" w:ascii="仿宋_GB2312" w:eastAsia="仿宋_GB2312" w:hAnsiTheme="majorEastAsia"/>
                <w:sz w:val="21"/>
                <w:szCs w:val="21"/>
              </w:rPr>
              <w:t>）</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18"/>
                <w:szCs w:val="18"/>
              </w:rPr>
              <w:t>8小时</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31</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更换蹲便器</w:t>
            </w:r>
          </w:p>
        </w:tc>
        <w:tc>
          <w:tcPr>
            <w:tcW w:w="3015" w:type="dxa"/>
            <w:gridSpan w:val="2"/>
          </w:tcPr>
          <w:p>
            <w:pPr>
              <w:numPr>
                <w:ilvl w:val="0"/>
                <w:numId w:val="1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蹲便器品牌（四维、九牧、箭牌）</w:t>
            </w:r>
          </w:p>
          <w:p>
            <w:pPr>
              <w:numPr>
                <w:ilvl w:val="0"/>
                <w:numId w:val="13"/>
              </w:numPr>
              <w:spacing w:after="0" w:line="440" w:lineRule="exact"/>
              <w:rPr>
                <w:rFonts w:ascii="仿宋_GB2312" w:eastAsia="仿宋_GB2312" w:hAnsiTheme="majorEastAsia"/>
                <w:sz w:val="21"/>
                <w:szCs w:val="21"/>
              </w:rPr>
            </w:pPr>
            <w:r>
              <w:rPr>
                <w:rFonts w:hint="eastAsia" w:ascii="仿宋_GB2312" w:eastAsia="仿宋_GB2312" w:hAnsiTheme="majorEastAsia"/>
                <w:sz w:val="21"/>
                <w:szCs w:val="21"/>
              </w:rPr>
              <w:t>所有规格型号（</w:t>
            </w:r>
            <w:r>
              <w:rPr>
                <w:rFonts w:hint="eastAsia" w:ascii="仿宋_GB2312" w:eastAsia="仿宋_GB2312" w:hAnsiTheme="majorEastAsia"/>
                <w:sz w:val="24"/>
                <w:szCs w:val="24"/>
              </w:rPr>
              <w:t>投标商综合考虑）</w:t>
            </w:r>
          </w:p>
          <w:p>
            <w:pPr>
              <w:numPr>
                <w:ilvl w:val="0"/>
                <w:numId w:val="13"/>
              </w:numPr>
              <w:spacing w:after="0" w:line="440" w:lineRule="exact"/>
              <w:rPr>
                <w:rFonts w:ascii="仿宋_GB2312" w:eastAsia="仿宋_GB2312" w:hAnsiTheme="majorEastAsia"/>
                <w:sz w:val="21"/>
                <w:szCs w:val="21"/>
              </w:rPr>
            </w:pPr>
            <w:r>
              <w:rPr>
                <w:rFonts w:hint="eastAsia" w:ascii="仿宋_GB2312" w:eastAsia="仿宋_GB2312" w:hAnsiTheme="majorEastAsia"/>
                <w:sz w:val="24"/>
                <w:szCs w:val="24"/>
              </w:rPr>
              <w:t>拆除旧蹲便器，安装新蹲便器。</w:t>
            </w:r>
          </w:p>
          <w:p>
            <w:pPr>
              <w:numPr>
                <w:ilvl w:val="0"/>
                <w:numId w:val="13"/>
              </w:numPr>
              <w:spacing w:after="0" w:line="440" w:lineRule="exact"/>
              <w:rPr>
                <w:rFonts w:ascii="仿宋_GB2312" w:eastAsia="仿宋_GB2312" w:hAnsiTheme="majorEastAsia"/>
                <w:sz w:val="21"/>
                <w:szCs w:val="21"/>
              </w:rPr>
            </w:pPr>
            <w:r>
              <w:rPr>
                <w:rFonts w:hint="eastAsia" w:ascii="仿宋_GB2312" w:eastAsia="仿宋_GB2312" w:hAnsiTheme="majorEastAsia"/>
                <w:sz w:val="24"/>
                <w:szCs w:val="24"/>
              </w:rPr>
              <w:t>周边恢复（含墙、地面砖；五金件）</w:t>
            </w:r>
          </w:p>
        </w:tc>
        <w:tc>
          <w:tcPr>
            <w:tcW w:w="615" w:type="dxa"/>
            <w:vAlign w:val="center"/>
          </w:tcPr>
          <w:p>
            <w:pPr>
              <w:spacing w:after="0" w:line="440" w:lineRule="exact"/>
              <w:jc w:val="center"/>
              <w:rPr>
                <w:rFonts w:ascii="仿宋_GB2312" w:eastAsia="仿宋_GB2312" w:hAnsiTheme="majorEastAsia"/>
                <w:sz w:val="18"/>
                <w:szCs w:val="18"/>
              </w:rPr>
            </w:pPr>
            <w:r>
              <w:rPr>
                <w:rFonts w:hint="eastAsia" w:ascii="仿宋_GB2312" w:eastAsia="仿宋_GB2312" w:hAnsiTheme="majorEastAsia"/>
                <w:sz w:val="18"/>
                <w:szCs w:val="18"/>
              </w:rPr>
              <w:t>个</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560.00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32</w:t>
            </w:r>
          </w:p>
        </w:tc>
        <w:tc>
          <w:tcPr>
            <w:tcW w:w="1478" w:type="dxa"/>
            <w:vAlign w:val="center"/>
          </w:tcPr>
          <w:p>
            <w:pPr>
              <w:spacing w:after="0" w:line="440" w:lineRule="exact"/>
              <w:jc w:val="center"/>
              <w:rPr>
                <w:rFonts w:ascii="黑体" w:hAnsi="黑体" w:eastAsia="黑体" w:cs="黑体"/>
                <w:sz w:val="24"/>
                <w:szCs w:val="24"/>
              </w:rPr>
            </w:pPr>
            <w:r>
              <w:rPr>
                <w:rFonts w:hint="eastAsia" w:ascii="黑体" w:hAnsi="黑体" w:eastAsia="黑体" w:cs="黑体"/>
                <w:sz w:val="24"/>
                <w:szCs w:val="24"/>
              </w:rPr>
              <w:t>大型吊车租用</w:t>
            </w:r>
          </w:p>
        </w:tc>
        <w:tc>
          <w:tcPr>
            <w:tcW w:w="3015" w:type="dxa"/>
            <w:gridSpan w:val="2"/>
          </w:tcPr>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1.25吨及</w:t>
            </w:r>
            <w:r>
              <w:rPr>
                <w:rFonts w:hint="eastAsia" w:ascii="仿宋_GB2312" w:eastAsia="仿宋_GB2312" w:hAnsiTheme="majorEastAsia"/>
                <w:sz w:val="24"/>
                <w:szCs w:val="24"/>
                <w:lang w:val="en-US" w:eastAsia="zh-CN"/>
              </w:rPr>
              <w:t>以</w:t>
            </w:r>
            <w:r>
              <w:rPr>
                <w:rFonts w:hint="eastAsia" w:ascii="仿宋_GB2312" w:eastAsia="仿宋_GB2312" w:hAnsiTheme="majorEastAsia"/>
                <w:sz w:val="24"/>
                <w:szCs w:val="24"/>
              </w:rPr>
              <w:t>下</w:t>
            </w:r>
          </w:p>
          <w:p>
            <w:pPr>
              <w:spacing w:after="0" w:line="440" w:lineRule="exact"/>
              <w:rPr>
                <w:rFonts w:ascii="仿宋_GB2312" w:eastAsia="仿宋_GB2312" w:hAnsiTheme="majorEastAsia"/>
                <w:sz w:val="24"/>
                <w:szCs w:val="24"/>
              </w:rPr>
            </w:pPr>
            <w:r>
              <w:rPr>
                <w:rFonts w:hint="eastAsia" w:ascii="仿宋_GB2312" w:eastAsia="仿宋_GB2312" w:hAnsiTheme="majorEastAsia"/>
                <w:sz w:val="24"/>
                <w:szCs w:val="24"/>
              </w:rPr>
              <w:t>2.含进出场费</w:t>
            </w:r>
          </w:p>
        </w:tc>
        <w:tc>
          <w:tcPr>
            <w:tcW w:w="615"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小时</w:t>
            </w:r>
          </w:p>
        </w:tc>
        <w:tc>
          <w:tcPr>
            <w:tcW w:w="660" w:type="dxa"/>
            <w:vAlign w:val="center"/>
          </w:tcPr>
          <w:p>
            <w:pPr>
              <w:spacing w:after="0" w:line="440" w:lineRule="exact"/>
              <w:jc w:val="center"/>
              <w:rPr>
                <w:rFonts w:ascii="仿宋_GB2312" w:eastAsia="仿宋_GB2312" w:hAnsiTheme="majorEastAsia"/>
                <w:sz w:val="24"/>
                <w:szCs w:val="24"/>
              </w:rPr>
            </w:pPr>
            <w:r>
              <w:rPr>
                <w:rFonts w:hint="eastAsia" w:ascii="仿宋_GB2312" w:eastAsia="仿宋_GB2312" w:hAnsiTheme="majorEastAsia"/>
                <w:sz w:val="24"/>
                <w:szCs w:val="24"/>
              </w:rPr>
              <w:t>1</w:t>
            </w:r>
          </w:p>
        </w:tc>
        <w:tc>
          <w:tcPr>
            <w:tcW w:w="1290" w:type="dxa"/>
            <w:vAlign w:val="center"/>
          </w:tcPr>
          <w:p>
            <w:pPr>
              <w:spacing w:after="0" w:line="440" w:lineRule="exact"/>
              <w:jc w:val="center"/>
              <w:rPr>
                <w:rFonts w:ascii="仿宋_GB2312" w:eastAsia="仿宋_GB2312" w:hAnsiTheme="majorEastAsia"/>
                <w:sz w:val="32"/>
                <w:szCs w:val="32"/>
              </w:rPr>
            </w:pPr>
          </w:p>
        </w:tc>
        <w:tc>
          <w:tcPr>
            <w:tcW w:w="1380" w:type="dxa"/>
            <w:vAlign w:val="center"/>
          </w:tcPr>
          <w:p>
            <w:pPr>
              <w:spacing w:after="0" w:line="440" w:lineRule="exact"/>
              <w:jc w:val="center"/>
              <w:rPr>
                <w:rFonts w:ascii="黑体" w:hAnsi="黑体" w:eastAsia="黑体" w:cs="黑体"/>
                <w:sz w:val="21"/>
                <w:szCs w:val="21"/>
              </w:rPr>
            </w:pPr>
            <w:r>
              <w:rPr>
                <w:rFonts w:hint="eastAsia" w:ascii="黑体" w:hAnsi="黑体" w:eastAsia="黑体" w:cs="黑体"/>
                <w:sz w:val="21"/>
                <w:szCs w:val="21"/>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2" w:type="dxa"/>
            <w:gridSpan w:val="3"/>
            <w:vAlign w:val="center"/>
          </w:tcPr>
          <w:p>
            <w:pPr>
              <w:spacing w:after="0" w:line="440" w:lineRule="exact"/>
              <w:jc w:val="center"/>
              <w:rPr>
                <w:rFonts w:ascii="黑体" w:hAnsi="黑体" w:eastAsia="黑体" w:cs="黑体"/>
                <w:sz w:val="44"/>
                <w:szCs w:val="44"/>
              </w:rPr>
            </w:pPr>
            <w:r>
              <w:rPr>
                <w:rFonts w:hint="eastAsia" w:ascii="黑体" w:hAnsi="黑体" w:eastAsia="黑体" w:cs="黑体"/>
                <w:sz w:val="36"/>
                <w:szCs w:val="36"/>
              </w:rPr>
              <w:t>总价</w:t>
            </w:r>
          </w:p>
        </w:tc>
        <w:tc>
          <w:tcPr>
            <w:tcW w:w="5121" w:type="dxa"/>
            <w:gridSpan w:val="5"/>
            <w:vAlign w:val="center"/>
          </w:tcPr>
          <w:p>
            <w:pPr>
              <w:spacing w:after="0" w:line="440" w:lineRule="exact"/>
              <w:jc w:val="center"/>
              <w:rPr>
                <w:rFonts w:ascii="黑体" w:hAnsi="黑体" w:eastAsia="黑体" w:cs="黑体"/>
                <w:sz w:val="44"/>
                <w:szCs w:val="44"/>
              </w:rPr>
            </w:pPr>
          </w:p>
        </w:tc>
      </w:tr>
    </w:tbl>
    <w:p>
      <w:pPr>
        <w:spacing w:after="0" w:line="440" w:lineRule="exact"/>
        <w:ind w:left="20" w:hanging="19" w:hangingChars="7"/>
        <w:rPr>
          <w:rFonts w:ascii="仿宋_GB2312" w:hAnsi="Arial" w:eastAsia="仿宋_GB2312" w:cs="Arial"/>
          <w:sz w:val="28"/>
          <w:szCs w:val="28"/>
        </w:rPr>
      </w:pPr>
      <w:r>
        <w:rPr>
          <w:rFonts w:hint="eastAsia" w:ascii="仿宋_GB2312" w:hAnsi="Arial" w:eastAsia="仿宋_GB2312" w:cs="Arial"/>
          <w:color w:val="000000"/>
          <w:sz w:val="28"/>
          <w:szCs w:val="28"/>
        </w:rPr>
        <w:t>注：1.报价应为维修过程所产生的所有费用，包括但不限于材料费、设</w:t>
      </w:r>
      <w:r>
        <w:rPr>
          <w:rFonts w:hint="eastAsia" w:ascii="仿宋_GB2312" w:hAnsi="Arial" w:eastAsia="仿宋_GB2312" w:cs="Arial"/>
          <w:sz w:val="28"/>
          <w:szCs w:val="28"/>
        </w:rPr>
        <w:t>备费、人工费、运输费、安装费、税费等一切费用。</w:t>
      </w:r>
    </w:p>
    <w:p>
      <w:pPr>
        <w:spacing w:after="0" w:line="440" w:lineRule="exact"/>
        <w:ind w:left="20" w:hanging="19" w:hangingChars="7"/>
        <w:rPr>
          <w:rFonts w:ascii="仿宋_GB2312" w:hAnsi="Arial" w:eastAsia="仿宋_GB2312" w:cs="Arial"/>
          <w:sz w:val="28"/>
          <w:szCs w:val="28"/>
        </w:rPr>
      </w:pPr>
      <w:r>
        <w:rPr>
          <w:rFonts w:hint="eastAsia" w:ascii="仿宋_GB2312" w:hAnsi="Arial" w:eastAsia="仿宋_GB2312" w:cs="Arial"/>
          <w:sz w:val="28"/>
          <w:szCs w:val="28"/>
        </w:rPr>
        <w:t xml:space="preserve">    2.各单项报价不得超过最高限价，有任一单项报价超过最高限价报价单无效。</w:t>
      </w:r>
    </w:p>
    <w:p>
      <w:pPr>
        <w:spacing w:after="0" w:line="440" w:lineRule="exact"/>
        <w:ind w:left="20" w:hanging="19" w:hangingChars="7"/>
        <w:rPr>
          <w:rFonts w:ascii="仿宋_GB2312" w:hAnsi="Arial" w:eastAsia="仿宋_GB2312" w:cs="Arial"/>
          <w:sz w:val="28"/>
          <w:szCs w:val="28"/>
        </w:rPr>
      </w:pPr>
      <w:r>
        <w:rPr>
          <w:rFonts w:hint="eastAsia" w:ascii="仿宋_GB2312" w:hAnsi="Arial" w:eastAsia="仿宋_GB2312" w:cs="Arial"/>
          <w:sz w:val="28"/>
          <w:szCs w:val="28"/>
        </w:rPr>
        <w:t xml:space="preserve">    3.报价包含维修工作过程中所产生的各类垃圾清运处运费用。</w:t>
      </w:r>
    </w:p>
    <w:p>
      <w:pPr>
        <w:spacing w:after="0" w:line="440" w:lineRule="exact"/>
        <w:ind w:firstLine="560" w:firstLineChars="200"/>
        <w:rPr>
          <w:rFonts w:ascii="仿宋_GB2312" w:eastAsia="仿宋_GB2312" w:hAnsiTheme="majorEastAsia"/>
          <w:sz w:val="32"/>
          <w:szCs w:val="32"/>
        </w:rPr>
      </w:pPr>
      <w:r>
        <w:rPr>
          <w:rFonts w:hint="eastAsia" w:ascii="仿宋_GB2312" w:hAnsi="Arial" w:eastAsia="仿宋_GB2312" w:cs="Arial"/>
          <w:sz w:val="28"/>
          <w:szCs w:val="28"/>
        </w:rPr>
        <w:t>4.报价单需加盖公司公章，方为有效。</w:t>
      </w: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after="0" w:line="440" w:lineRule="exact"/>
        <w:rPr>
          <w:rFonts w:ascii="仿宋_GB2312" w:eastAsia="仿宋_GB2312" w:hAnsiTheme="majorEastAsia"/>
          <w:sz w:val="32"/>
          <w:szCs w:val="32"/>
        </w:rPr>
      </w:pPr>
    </w:p>
    <w:p>
      <w:pPr>
        <w:spacing w:line="520" w:lineRule="exact"/>
        <w:jc w:val="center"/>
        <w:rPr>
          <w:rFonts w:ascii="方正小标宋简体" w:hAnsi="宋体" w:eastAsia="方正小标宋简体"/>
          <w:bCs/>
          <w:sz w:val="44"/>
          <w:szCs w:val="44"/>
        </w:rPr>
      </w:pPr>
    </w:p>
    <w:p>
      <w:pPr>
        <w:spacing w:line="520" w:lineRule="exact"/>
        <w:jc w:val="center"/>
        <w:rPr>
          <w:rFonts w:ascii="方正小标宋简体" w:hAnsi="宋体" w:eastAsia="方正小标宋简体"/>
          <w:bCs/>
          <w:sz w:val="44"/>
          <w:szCs w:val="44"/>
        </w:rPr>
      </w:pPr>
      <w:bookmarkStart w:id="0" w:name="_GoBack"/>
      <w:bookmarkEnd w:id="0"/>
    </w:p>
    <w:p>
      <w:pPr>
        <w:spacing w:line="520" w:lineRule="exact"/>
        <w:jc w:val="center"/>
        <w:rPr>
          <w:rFonts w:ascii="方正小标宋简体" w:hAnsi="宋体" w:eastAsia="方正小标宋简体"/>
          <w:bCs/>
          <w:sz w:val="44"/>
          <w:szCs w:val="44"/>
        </w:rPr>
      </w:pPr>
    </w:p>
    <w:p>
      <w:pPr>
        <w:spacing w:line="520" w:lineRule="exact"/>
        <w:jc w:val="both"/>
        <w:rPr>
          <w:rFonts w:ascii="方正小标宋简体" w:hAnsi="宋体" w:eastAsia="方正小标宋简体"/>
          <w:bCs/>
          <w:sz w:val="44"/>
          <w:szCs w:val="44"/>
        </w:rPr>
      </w:pPr>
    </w:p>
    <w:p>
      <w:pPr>
        <w:spacing w:line="520" w:lineRule="exact"/>
        <w:jc w:val="center"/>
        <w:rPr>
          <w:rFonts w:ascii="方正小标宋简体" w:hAnsi="宋体" w:eastAsia="方正小标宋简体"/>
          <w:bCs/>
          <w:sz w:val="44"/>
          <w:szCs w:val="44"/>
        </w:rPr>
      </w:pPr>
    </w:p>
    <w:p>
      <w:pPr>
        <w:spacing w:line="520" w:lineRule="exact"/>
        <w:jc w:val="center"/>
        <w:rPr>
          <w:rFonts w:ascii="方正小标宋简体" w:hAnsi="宋体" w:eastAsia="方正小标宋简体"/>
          <w:bCs/>
          <w:sz w:val="44"/>
          <w:szCs w:val="44"/>
        </w:rPr>
      </w:pPr>
    </w:p>
    <w:p>
      <w:pPr>
        <w:spacing w:line="520" w:lineRule="exact"/>
        <w:jc w:val="center"/>
        <w:rPr>
          <w:rFonts w:ascii="方正小标宋简体" w:hAnsi="宋体" w:eastAsia="方正小标宋简体"/>
          <w:bCs/>
          <w:sz w:val="44"/>
          <w:szCs w:val="44"/>
        </w:rPr>
      </w:pPr>
    </w:p>
    <w:p>
      <w:pPr>
        <w:spacing w:line="520" w:lineRule="exact"/>
        <w:jc w:val="center"/>
        <w:rPr>
          <w:rFonts w:ascii="方正小标宋简体" w:hAnsi="宋体" w:eastAsia="方正小标宋简体"/>
          <w:bCs/>
          <w:sz w:val="44"/>
          <w:szCs w:val="44"/>
        </w:rPr>
      </w:pPr>
    </w:p>
    <w:p>
      <w:pPr>
        <w:spacing w:line="520" w:lineRule="exact"/>
        <w:jc w:val="center"/>
        <w:rPr>
          <w:rFonts w:ascii="方正小标宋简体" w:hAnsi="宋体" w:eastAsia="方正小标宋简体"/>
          <w:bCs/>
          <w:sz w:val="44"/>
          <w:szCs w:val="44"/>
        </w:rPr>
      </w:pPr>
    </w:p>
    <w:p>
      <w:pPr>
        <w:widowControl w:val="0"/>
        <w:adjustRightInd/>
        <w:snapToGrid/>
        <w:spacing w:line="520" w:lineRule="exact"/>
        <w:ind w:left="435"/>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after="0" w:line="440" w:lineRule="exact"/>
        <w:rPr>
          <w:rFonts w:ascii="仿宋_GB2312" w:eastAsia="仿宋_GB2312" w:hAnsiTheme="majorEastAsia"/>
          <w:sz w:val="32"/>
          <w:szCs w:val="32"/>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5EBA6"/>
    <w:multiLevelType w:val="singleLevel"/>
    <w:tmpl w:val="8875EBA6"/>
    <w:lvl w:ilvl="0" w:tentative="0">
      <w:start w:val="1"/>
      <w:numFmt w:val="decimal"/>
      <w:lvlText w:val="%1."/>
      <w:lvlJc w:val="left"/>
      <w:pPr>
        <w:tabs>
          <w:tab w:val="left" w:pos="312"/>
        </w:tabs>
      </w:pPr>
    </w:lvl>
  </w:abstractNum>
  <w:abstractNum w:abstractNumId="1">
    <w:nsid w:val="AA9F9065"/>
    <w:multiLevelType w:val="singleLevel"/>
    <w:tmpl w:val="AA9F9065"/>
    <w:lvl w:ilvl="0" w:tentative="0">
      <w:start w:val="1"/>
      <w:numFmt w:val="decimal"/>
      <w:lvlText w:val="%1."/>
      <w:lvlJc w:val="left"/>
      <w:pPr>
        <w:tabs>
          <w:tab w:val="left" w:pos="312"/>
        </w:tabs>
      </w:pPr>
    </w:lvl>
  </w:abstractNum>
  <w:abstractNum w:abstractNumId="2">
    <w:nsid w:val="ABA08BBB"/>
    <w:multiLevelType w:val="singleLevel"/>
    <w:tmpl w:val="ABA08BBB"/>
    <w:lvl w:ilvl="0" w:tentative="0">
      <w:start w:val="1"/>
      <w:numFmt w:val="decimal"/>
      <w:lvlText w:val="%1."/>
      <w:lvlJc w:val="left"/>
      <w:pPr>
        <w:tabs>
          <w:tab w:val="left" w:pos="312"/>
        </w:tabs>
      </w:pPr>
    </w:lvl>
  </w:abstractNum>
  <w:abstractNum w:abstractNumId="3">
    <w:nsid w:val="BCBF1A49"/>
    <w:multiLevelType w:val="singleLevel"/>
    <w:tmpl w:val="BCBF1A49"/>
    <w:lvl w:ilvl="0" w:tentative="0">
      <w:start w:val="1"/>
      <w:numFmt w:val="decimal"/>
      <w:lvlText w:val="%1."/>
      <w:lvlJc w:val="left"/>
      <w:pPr>
        <w:tabs>
          <w:tab w:val="left" w:pos="312"/>
        </w:tabs>
      </w:pPr>
    </w:lvl>
  </w:abstractNum>
  <w:abstractNum w:abstractNumId="4">
    <w:nsid w:val="C6A6267A"/>
    <w:multiLevelType w:val="singleLevel"/>
    <w:tmpl w:val="C6A6267A"/>
    <w:lvl w:ilvl="0" w:tentative="0">
      <w:start w:val="1"/>
      <w:numFmt w:val="decimal"/>
      <w:lvlText w:val="%1."/>
      <w:lvlJc w:val="left"/>
      <w:pPr>
        <w:tabs>
          <w:tab w:val="left" w:pos="312"/>
        </w:tabs>
      </w:pPr>
    </w:lvl>
  </w:abstractNum>
  <w:abstractNum w:abstractNumId="5">
    <w:nsid w:val="C7892BB2"/>
    <w:multiLevelType w:val="singleLevel"/>
    <w:tmpl w:val="C7892BB2"/>
    <w:lvl w:ilvl="0" w:tentative="0">
      <w:start w:val="1"/>
      <w:numFmt w:val="decimal"/>
      <w:lvlText w:val="%1."/>
      <w:lvlJc w:val="left"/>
      <w:pPr>
        <w:tabs>
          <w:tab w:val="left" w:pos="312"/>
        </w:tabs>
      </w:pPr>
    </w:lvl>
  </w:abstractNum>
  <w:abstractNum w:abstractNumId="6">
    <w:nsid w:val="CF11E7A8"/>
    <w:multiLevelType w:val="singleLevel"/>
    <w:tmpl w:val="CF11E7A8"/>
    <w:lvl w:ilvl="0" w:tentative="0">
      <w:start w:val="1"/>
      <w:numFmt w:val="decimal"/>
      <w:lvlText w:val="%1."/>
      <w:lvlJc w:val="left"/>
      <w:pPr>
        <w:tabs>
          <w:tab w:val="left" w:pos="312"/>
        </w:tabs>
      </w:pPr>
    </w:lvl>
  </w:abstractNum>
  <w:abstractNum w:abstractNumId="7">
    <w:nsid w:val="DF6DBF46"/>
    <w:multiLevelType w:val="singleLevel"/>
    <w:tmpl w:val="DF6DBF46"/>
    <w:lvl w:ilvl="0" w:tentative="0">
      <w:start w:val="1"/>
      <w:numFmt w:val="chineseCounting"/>
      <w:suff w:val="nothing"/>
      <w:lvlText w:val="%1、"/>
      <w:lvlJc w:val="left"/>
      <w:rPr>
        <w:rFonts w:hint="eastAsia"/>
      </w:rPr>
    </w:lvl>
  </w:abstractNum>
  <w:abstractNum w:abstractNumId="8">
    <w:nsid w:val="E29F6CB5"/>
    <w:multiLevelType w:val="singleLevel"/>
    <w:tmpl w:val="E29F6CB5"/>
    <w:lvl w:ilvl="0" w:tentative="0">
      <w:start w:val="1"/>
      <w:numFmt w:val="decimal"/>
      <w:lvlText w:val="%1."/>
      <w:lvlJc w:val="left"/>
      <w:pPr>
        <w:tabs>
          <w:tab w:val="left" w:pos="312"/>
        </w:tabs>
      </w:pPr>
    </w:lvl>
  </w:abstractNum>
  <w:abstractNum w:abstractNumId="9">
    <w:nsid w:val="FB35E875"/>
    <w:multiLevelType w:val="singleLevel"/>
    <w:tmpl w:val="FB35E875"/>
    <w:lvl w:ilvl="0" w:tentative="0">
      <w:start w:val="1"/>
      <w:numFmt w:val="decimal"/>
      <w:lvlText w:val="%1."/>
      <w:lvlJc w:val="left"/>
      <w:pPr>
        <w:tabs>
          <w:tab w:val="left" w:pos="312"/>
        </w:tabs>
      </w:pPr>
    </w:lvl>
  </w:abstractNum>
  <w:abstractNum w:abstractNumId="10">
    <w:nsid w:val="FB5DD345"/>
    <w:multiLevelType w:val="singleLevel"/>
    <w:tmpl w:val="FB5DD345"/>
    <w:lvl w:ilvl="0" w:tentative="0">
      <w:start w:val="1"/>
      <w:numFmt w:val="decimal"/>
      <w:lvlText w:val="%1."/>
      <w:lvlJc w:val="left"/>
      <w:pPr>
        <w:tabs>
          <w:tab w:val="left" w:pos="312"/>
        </w:tabs>
      </w:pPr>
    </w:lvl>
  </w:abstractNum>
  <w:abstractNum w:abstractNumId="11">
    <w:nsid w:val="54390FA8"/>
    <w:multiLevelType w:val="singleLevel"/>
    <w:tmpl w:val="54390FA8"/>
    <w:lvl w:ilvl="0" w:tentative="0">
      <w:start w:val="1"/>
      <w:numFmt w:val="decimal"/>
      <w:lvlText w:val="%1."/>
      <w:lvlJc w:val="left"/>
      <w:pPr>
        <w:tabs>
          <w:tab w:val="left" w:pos="312"/>
        </w:tabs>
      </w:pPr>
    </w:lvl>
  </w:abstractNum>
  <w:abstractNum w:abstractNumId="12">
    <w:nsid w:val="6CF227D2"/>
    <w:multiLevelType w:val="singleLevel"/>
    <w:tmpl w:val="6CF227D2"/>
    <w:lvl w:ilvl="0" w:tentative="0">
      <w:start w:val="1"/>
      <w:numFmt w:val="decimal"/>
      <w:lvlText w:val="%1."/>
      <w:lvlJc w:val="left"/>
      <w:pPr>
        <w:tabs>
          <w:tab w:val="left" w:pos="312"/>
        </w:tabs>
      </w:pPr>
    </w:lvl>
  </w:abstractNum>
  <w:num w:numId="1">
    <w:abstractNumId w:val="7"/>
  </w:num>
  <w:num w:numId="2">
    <w:abstractNumId w:val="11"/>
  </w:num>
  <w:num w:numId="3">
    <w:abstractNumId w:val="12"/>
  </w:num>
  <w:num w:numId="4">
    <w:abstractNumId w:val="3"/>
  </w:num>
  <w:num w:numId="5">
    <w:abstractNumId w:val="0"/>
  </w:num>
  <w:num w:numId="6">
    <w:abstractNumId w:val="6"/>
  </w:num>
  <w:num w:numId="7">
    <w:abstractNumId w:val="5"/>
  </w:num>
  <w:num w:numId="8">
    <w:abstractNumId w:val="8"/>
  </w:num>
  <w:num w:numId="9">
    <w:abstractNumId w:val="10"/>
  </w:num>
  <w:num w:numId="10">
    <w:abstractNumId w:val="9"/>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7242"/>
    <w:rsid w:val="00055363"/>
    <w:rsid w:val="00061FCD"/>
    <w:rsid w:val="00090CAD"/>
    <w:rsid w:val="000A2FE9"/>
    <w:rsid w:val="000A75B2"/>
    <w:rsid w:val="000C35AF"/>
    <w:rsid w:val="000D5740"/>
    <w:rsid w:val="000E1318"/>
    <w:rsid w:val="000F4D4A"/>
    <w:rsid w:val="0011492D"/>
    <w:rsid w:val="00122DE1"/>
    <w:rsid w:val="00144731"/>
    <w:rsid w:val="001569B8"/>
    <w:rsid w:val="00172828"/>
    <w:rsid w:val="00192726"/>
    <w:rsid w:val="001A1F7D"/>
    <w:rsid w:val="001A487D"/>
    <w:rsid w:val="001B5B98"/>
    <w:rsid w:val="001D1B3B"/>
    <w:rsid w:val="001D3293"/>
    <w:rsid w:val="001E113B"/>
    <w:rsid w:val="001E159B"/>
    <w:rsid w:val="001E38AC"/>
    <w:rsid w:val="001E67FF"/>
    <w:rsid w:val="001E795D"/>
    <w:rsid w:val="00200FC9"/>
    <w:rsid w:val="002165E2"/>
    <w:rsid w:val="00227B2B"/>
    <w:rsid w:val="002840BA"/>
    <w:rsid w:val="00291FAA"/>
    <w:rsid w:val="002951CA"/>
    <w:rsid w:val="002B30DC"/>
    <w:rsid w:val="002C2525"/>
    <w:rsid w:val="002E4857"/>
    <w:rsid w:val="002F0DE3"/>
    <w:rsid w:val="002F7A7E"/>
    <w:rsid w:val="0031020A"/>
    <w:rsid w:val="00323B43"/>
    <w:rsid w:val="003435D8"/>
    <w:rsid w:val="0034563A"/>
    <w:rsid w:val="003650DF"/>
    <w:rsid w:val="00367925"/>
    <w:rsid w:val="00377E50"/>
    <w:rsid w:val="003C3890"/>
    <w:rsid w:val="003C7EFB"/>
    <w:rsid w:val="003D133E"/>
    <w:rsid w:val="003D37D8"/>
    <w:rsid w:val="003E7F2B"/>
    <w:rsid w:val="003F04F4"/>
    <w:rsid w:val="004177FA"/>
    <w:rsid w:val="00423C05"/>
    <w:rsid w:val="00424476"/>
    <w:rsid w:val="00426133"/>
    <w:rsid w:val="004358AB"/>
    <w:rsid w:val="004465CA"/>
    <w:rsid w:val="00452FF6"/>
    <w:rsid w:val="00491BBF"/>
    <w:rsid w:val="004B51EB"/>
    <w:rsid w:val="004B7FC9"/>
    <w:rsid w:val="004C03E4"/>
    <w:rsid w:val="004D2AF0"/>
    <w:rsid w:val="004D4B7F"/>
    <w:rsid w:val="004D6CD8"/>
    <w:rsid w:val="005040C3"/>
    <w:rsid w:val="00510A03"/>
    <w:rsid w:val="00511BFF"/>
    <w:rsid w:val="0051746C"/>
    <w:rsid w:val="00517BB2"/>
    <w:rsid w:val="005243FF"/>
    <w:rsid w:val="00532ACF"/>
    <w:rsid w:val="00533EE9"/>
    <w:rsid w:val="00556EE3"/>
    <w:rsid w:val="0057694B"/>
    <w:rsid w:val="00584244"/>
    <w:rsid w:val="00587349"/>
    <w:rsid w:val="00594649"/>
    <w:rsid w:val="005C2081"/>
    <w:rsid w:val="005D42E2"/>
    <w:rsid w:val="005D5CCD"/>
    <w:rsid w:val="005E65B6"/>
    <w:rsid w:val="005E74FD"/>
    <w:rsid w:val="005F4016"/>
    <w:rsid w:val="005F6E59"/>
    <w:rsid w:val="006231C3"/>
    <w:rsid w:val="006247E3"/>
    <w:rsid w:val="006251CC"/>
    <w:rsid w:val="006349EA"/>
    <w:rsid w:val="00676D2B"/>
    <w:rsid w:val="006841CA"/>
    <w:rsid w:val="0068484B"/>
    <w:rsid w:val="00696FC3"/>
    <w:rsid w:val="006A3107"/>
    <w:rsid w:val="006B5D50"/>
    <w:rsid w:val="006B7B2C"/>
    <w:rsid w:val="006F3D93"/>
    <w:rsid w:val="006F4129"/>
    <w:rsid w:val="00706EDB"/>
    <w:rsid w:val="00707F9D"/>
    <w:rsid w:val="00713862"/>
    <w:rsid w:val="00720722"/>
    <w:rsid w:val="0073519A"/>
    <w:rsid w:val="007355ED"/>
    <w:rsid w:val="007370FA"/>
    <w:rsid w:val="007432E7"/>
    <w:rsid w:val="0075332E"/>
    <w:rsid w:val="00760F05"/>
    <w:rsid w:val="007818DD"/>
    <w:rsid w:val="00781BA9"/>
    <w:rsid w:val="0078358B"/>
    <w:rsid w:val="007846FC"/>
    <w:rsid w:val="00790705"/>
    <w:rsid w:val="00796260"/>
    <w:rsid w:val="007A235C"/>
    <w:rsid w:val="007D3BF5"/>
    <w:rsid w:val="007E48FE"/>
    <w:rsid w:val="00804CCE"/>
    <w:rsid w:val="00837A7F"/>
    <w:rsid w:val="008662A6"/>
    <w:rsid w:val="00866875"/>
    <w:rsid w:val="00870492"/>
    <w:rsid w:val="008B7726"/>
    <w:rsid w:val="008C58C9"/>
    <w:rsid w:val="008C7025"/>
    <w:rsid w:val="008E16EE"/>
    <w:rsid w:val="00903344"/>
    <w:rsid w:val="00907D51"/>
    <w:rsid w:val="009432F2"/>
    <w:rsid w:val="0095640A"/>
    <w:rsid w:val="00987F54"/>
    <w:rsid w:val="0099309F"/>
    <w:rsid w:val="009B06E7"/>
    <w:rsid w:val="009B71FA"/>
    <w:rsid w:val="009D0D66"/>
    <w:rsid w:val="00A03171"/>
    <w:rsid w:val="00A03B33"/>
    <w:rsid w:val="00A13098"/>
    <w:rsid w:val="00A43027"/>
    <w:rsid w:val="00A45064"/>
    <w:rsid w:val="00A5182C"/>
    <w:rsid w:val="00A57D10"/>
    <w:rsid w:val="00A618C1"/>
    <w:rsid w:val="00A62BD3"/>
    <w:rsid w:val="00A76E56"/>
    <w:rsid w:val="00A93539"/>
    <w:rsid w:val="00A93DB9"/>
    <w:rsid w:val="00AB5BCE"/>
    <w:rsid w:val="00AC781E"/>
    <w:rsid w:val="00AD1D0C"/>
    <w:rsid w:val="00AE62F7"/>
    <w:rsid w:val="00AF2AFA"/>
    <w:rsid w:val="00AF31D3"/>
    <w:rsid w:val="00B07DA8"/>
    <w:rsid w:val="00B15DFE"/>
    <w:rsid w:val="00B20331"/>
    <w:rsid w:val="00B27DBF"/>
    <w:rsid w:val="00B347C0"/>
    <w:rsid w:val="00B3784D"/>
    <w:rsid w:val="00B80BED"/>
    <w:rsid w:val="00BC33EA"/>
    <w:rsid w:val="00C01CC9"/>
    <w:rsid w:val="00C20426"/>
    <w:rsid w:val="00C222A0"/>
    <w:rsid w:val="00C431E4"/>
    <w:rsid w:val="00C44281"/>
    <w:rsid w:val="00C53479"/>
    <w:rsid w:val="00C65029"/>
    <w:rsid w:val="00C664F4"/>
    <w:rsid w:val="00C73A9B"/>
    <w:rsid w:val="00C94133"/>
    <w:rsid w:val="00CA2AB8"/>
    <w:rsid w:val="00CB43C2"/>
    <w:rsid w:val="00CC5AF3"/>
    <w:rsid w:val="00CD6E61"/>
    <w:rsid w:val="00CD7DE9"/>
    <w:rsid w:val="00D00007"/>
    <w:rsid w:val="00D218E9"/>
    <w:rsid w:val="00D24ECA"/>
    <w:rsid w:val="00D31D50"/>
    <w:rsid w:val="00D5501B"/>
    <w:rsid w:val="00D61CEF"/>
    <w:rsid w:val="00D63745"/>
    <w:rsid w:val="00D77389"/>
    <w:rsid w:val="00D80639"/>
    <w:rsid w:val="00D8215B"/>
    <w:rsid w:val="00D86492"/>
    <w:rsid w:val="00D9657E"/>
    <w:rsid w:val="00D96EEC"/>
    <w:rsid w:val="00DA27C8"/>
    <w:rsid w:val="00DA39DA"/>
    <w:rsid w:val="00DA61D9"/>
    <w:rsid w:val="00DC360E"/>
    <w:rsid w:val="00DC79C0"/>
    <w:rsid w:val="00DD1FBF"/>
    <w:rsid w:val="00DD4083"/>
    <w:rsid w:val="00DF444D"/>
    <w:rsid w:val="00E12F70"/>
    <w:rsid w:val="00E37E04"/>
    <w:rsid w:val="00E43415"/>
    <w:rsid w:val="00E4544B"/>
    <w:rsid w:val="00E5567F"/>
    <w:rsid w:val="00E82990"/>
    <w:rsid w:val="00E83198"/>
    <w:rsid w:val="00EB68B8"/>
    <w:rsid w:val="00EC7A98"/>
    <w:rsid w:val="00ED2F36"/>
    <w:rsid w:val="00EE0A8C"/>
    <w:rsid w:val="00EF5278"/>
    <w:rsid w:val="00F01C44"/>
    <w:rsid w:val="00F11EBE"/>
    <w:rsid w:val="00F16568"/>
    <w:rsid w:val="00F523D0"/>
    <w:rsid w:val="00F80655"/>
    <w:rsid w:val="00FC7236"/>
    <w:rsid w:val="00FD5DBE"/>
    <w:rsid w:val="00FF717A"/>
    <w:rsid w:val="016E0043"/>
    <w:rsid w:val="02F22570"/>
    <w:rsid w:val="054226B0"/>
    <w:rsid w:val="058E3D9F"/>
    <w:rsid w:val="05BD4C80"/>
    <w:rsid w:val="063178D1"/>
    <w:rsid w:val="063A076F"/>
    <w:rsid w:val="08AC40AA"/>
    <w:rsid w:val="090819EB"/>
    <w:rsid w:val="09A9511F"/>
    <w:rsid w:val="09ED04F3"/>
    <w:rsid w:val="0A052B9D"/>
    <w:rsid w:val="0ADF03E7"/>
    <w:rsid w:val="0B065739"/>
    <w:rsid w:val="0C8C0DC0"/>
    <w:rsid w:val="0E681DE1"/>
    <w:rsid w:val="0FB10DF1"/>
    <w:rsid w:val="0FBA11E5"/>
    <w:rsid w:val="10425AE1"/>
    <w:rsid w:val="108F4B3E"/>
    <w:rsid w:val="110F6146"/>
    <w:rsid w:val="120F1EF6"/>
    <w:rsid w:val="127432D9"/>
    <w:rsid w:val="12C5488C"/>
    <w:rsid w:val="13625A4D"/>
    <w:rsid w:val="13D51B4B"/>
    <w:rsid w:val="14017F72"/>
    <w:rsid w:val="144810B5"/>
    <w:rsid w:val="14B56264"/>
    <w:rsid w:val="160D5F30"/>
    <w:rsid w:val="167D67F6"/>
    <w:rsid w:val="187E7B84"/>
    <w:rsid w:val="18ED15D2"/>
    <w:rsid w:val="199B3E4A"/>
    <w:rsid w:val="19D1369F"/>
    <w:rsid w:val="1AD52CA9"/>
    <w:rsid w:val="1B703F44"/>
    <w:rsid w:val="1DA64CFB"/>
    <w:rsid w:val="1DF3357F"/>
    <w:rsid w:val="1E585FE9"/>
    <w:rsid w:val="1E5F2EB6"/>
    <w:rsid w:val="1EFD2DF0"/>
    <w:rsid w:val="1FC14A38"/>
    <w:rsid w:val="1FF41549"/>
    <w:rsid w:val="201A0942"/>
    <w:rsid w:val="20690F8D"/>
    <w:rsid w:val="21B308A3"/>
    <w:rsid w:val="232C714B"/>
    <w:rsid w:val="23AD4E2C"/>
    <w:rsid w:val="257068BB"/>
    <w:rsid w:val="27B82643"/>
    <w:rsid w:val="2821302A"/>
    <w:rsid w:val="29953FD6"/>
    <w:rsid w:val="2BD02D47"/>
    <w:rsid w:val="2BF67BF3"/>
    <w:rsid w:val="2D3F5FAB"/>
    <w:rsid w:val="2E227962"/>
    <w:rsid w:val="2E77789F"/>
    <w:rsid w:val="2F1C4473"/>
    <w:rsid w:val="311F7BB7"/>
    <w:rsid w:val="31586A4A"/>
    <w:rsid w:val="326E5F64"/>
    <w:rsid w:val="33F217D2"/>
    <w:rsid w:val="3617732D"/>
    <w:rsid w:val="37562356"/>
    <w:rsid w:val="37F43589"/>
    <w:rsid w:val="385A222D"/>
    <w:rsid w:val="38C7368C"/>
    <w:rsid w:val="3A3A6A52"/>
    <w:rsid w:val="3ADA751C"/>
    <w:rsid w:val="3AE650A5"/>
    <w:rsid w:val="3C6940AF"/>
    <w:rsid w:val="3C822C90"/>
    <w:rsid w:val="3E662D36"/>
    <w:rsid w:val="3EA73264"/>
    <w:rsid w:val="3F026717"/>
    <w:rsid w:val="3F196C36"/>
    <w:rsid w:val="3F4A5E3A"/>
    <w:rsid w:val="3F9923E6"/>
    <w:rsid w:val="40D62D23"/>
    <w:rsid w:val="41725CBE"/>
    <w:rsid w:val="425D28C6"/>
    <w:rsid w:val="44EB1D4F"/>
    <w:rsid w:val="45FB64DD"/>
    <w:rsid w:val="467B5E8F"/>
    <w:rsid w:val="48165A36"/>
    <w:rsid w:val="481E2C87"/>
    <w:rsid w:val="48764CD0"/>
    <w:rsid w:val="48A865E1"/>
    <w:rsid w:val="49276DFC"/>
    <w:rsid w:val="498A7D18"/>
    <w:rsid w:val="4A0E0171"/>
    <w:rsid w:val="4BAE2C7D"/>
    <w:rsid w:val="4CB748F4"/>
    <w:rsid w:val="4DCB5E71"/>
    <w:rsid w:val="4E5C78C2"/>
    <w:rsid w:val="4FCA4A83"/>
    <w:rsid w:val="4FF30B5B"/>
    <w:rsid w:val="519242E0"/>
    <w:rsid w:val="53B07D5B"/>
    <w:rsid w:val="54AC674A"/>
    <w:rsid w:val="54C278E0"/>
    <w:rsid w:val="57057B1D"/>
    <w:rsid w:val="570704F6"/>
    <w:rsid w:val="571A29B1"/>
    <w:rsid w:val="573B6312"/>
    <w:rsid w:val="57BB10CE"/>
    <w:rsid w:val="5802683A"/>
    <w:rsid w:val="58C30A45"/>
    <w:rsid w:val="595A4077"/>
    <w:rsid w:val="5A443D14"/>
    <w:rsid w:val="5A9470E9"/>
    <w:rsid w:val="5B2A7470"/>
    <w:rsid w:val="5C102837"/>
    <w:rsid w:val="5D007678"/>
    <w:rsid w:val="5DEC43C1"/>
    <w:rsid w:val="6089364F"/>
    <w:rsid w:val="60A73379"/>
    <w:rsid w:val="61CB4B15"/>
    <w:rsid w:val="63566719"/>
    <w:rsid w:val="63842A59"/>
    <w:rsid w:val="641E79D0"/>
    <w:rsid w:val="64652CEA"/>
    <w:rsid w:val="64770585"/>
    <w:rsid w:val="67845364"/>
    <w:rsid w:val="67C2125E"/>
    <w:rsid w:val="68512281"/>
    <w:rsid w:val="68632635"/>
    <w:rsid w:val="689F5058"/>
    <w:rsid w:val="68AF24E3"/>
    <w:rsid w:val="68C7373A"/>
    <w:rsid w:val="6B8232ED"/>
    <w:rsid w:val="6D6710C2"/>
    <w:rsid w:val="6D82549A"/>
    <w:rsid w:val="6DD62E94"/>
    <w:rsid w:val="6DE36AA5"/>
    <w:rsid w:val="6E6A5F31"/>
    <w:rsid w:val="6E796698"/>
    <w:rsid w:val="6F077A71"/>
    <w:rsid w:val="6F087E42"/>
    <w:rsid w:val="6F7D2CEC"/>
    <w:rsid w:val="701B132A"/>
    <w:rsid w:val="70226F80"/>
    <w:rsid w:val="71524833"/>
    <w:rsid w:val="715A415B"/>
    <w:rsid w:val="71A00E33"/>
    <w:rsid w:val="7290729D"/>
    <w:rsid w:val="730A3989"/>
    <w:rsid w:val="732C3F7D"/>
    <w:rsid w:val="738F4BCC"/>
    <w:rsid w:val="73A212C9"/>
    <w:rsid w:val="749319A9"/>
    <w:rsid w:val="74C601A0"/>
    <w:rsid w:val="75BF5FC3"/>
    <w:rsid w:val="7684746D"/>
    <w:rsid w:val="78625C3F"/>
    <w:rsid w:val="79156B39"/>
    <w:rsid w:val="7BF157B8"/>
    <w:rsid w:val="7E2C2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7"/>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link w:val="20"/>
    <w:qFormat/>
    <w:uiPriority w:val="0"/>
    <w:pPr>
      <w:widowControl w:val="0"/>
      <w:adjustRightInd/>
      <w:snapToGrid/>
      <w:spacing w:afterLines="25" w:line="300" w:lineRule="auto"/>
      <w:ind w:firstLine="420" w:firstLineChars="200"/>
      <w:jc w:val="both"/>
    </w:pPr>
    <w:rPr>
      <w:rFonts w:ascii="Arial" w:hAnsi="Arial" w:eastAsia="宋体" w:cs="Times New Roman"/>
      <w:kern w:val="2"/>
      <w:sz w:val="24"/>
      <w:szCs w:val="24"/>
    </w:rPr>
  </w:style>
  <w:style w:type="paragraph" w:styleId="4">
    <w:name w:val="annotation text"/>
    <w:basedOn w:val="1"/>
    <w:link w:val="22"/>
    <w:semiHidden/>
    <w:unhideWhenUsed/>
    <w:qFormat/>
    <w:uiPriority w:val="99"/>
  </w:style>
  <w:style w:type="paragraph" w:styleId="5">
    <w:name w:val="Date"/>
    <w:basedOn w:val="1"/>
    <w:next w:val="1"/>
    <w:link w:val="21"/>
    <w:qFormat/>
    <w:uiPriority w:val="0"/>
    <w:pPr>
      <w:widowControl w:val="0"/>
      <w:adjustRightInd/>
      <w:snapToGrid/>
      <w:spacing w:after="0"/>
      <w:ind w:left="100" w:leftChars="2500"/>
      <w:jc w:val="both"/>
    </w:pPr>
    <w:rPr>
      <w:rFonts w:ascii="Times New Roman" w:hAnsi="Times New Roman" w:eastAsia="宋体" w:cs="Times New Roman"/>
      <w:sz w:val="24"/>
      <w:szCs w:val="24"/>
    </w:rPr>
  </w:style>
  <w:style w:type="paragraph" w:styleId="6">
    <w:name w:val="Balloon Text"/>
    <w:basedOn w:val="1"/>
    <w:link w:val="24"/>
    <w:semiHidden/>
    <w:unhideWhenUsed/>
    <w:qFormat/>
    <w:uiPriority w:val="99"/>
    <w:pPr>
      <w:spacing w:after="0"/>
    </w:pPr>
    <w:rPr>
      <w:sz w:val="18"/>
      <w:szCs w:val="18"/>
    </w:rPr>
  </w:style>
  <w:style w:type="paragraph" w:styleId="7">
    <w:name w:val="footer"/>
    <w:basedOn w:val="1"/>
    <w:link w:val="19"/>
    <w:unhideWhenUsed/>
    <w:qFormat/>
    <w:uiPriority w:val="99"/>
    <w:pPr>
      <w:tabs>
        <w:tab w:val="center" w:pos="4153"/>
        <w:tab w:val="right" w:pos="8306"/>
      </w:tabs>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unhideWhenUsed/>
    <w:qFormat/>
    <w:uiPriority w:val="0"/>
    <w:pPr>
      <w:adjustRightInd/>
      <w:snapToGrid/>
      <w:spacing w:before="100" w:beforeAutospacing="1" w:after="100" w:afterAutospacing="1"/>
    </w:pPr>
    <w:rPr>
      <w:rFonts w:ascii="宋体" w:hAnsi="宋体" w:eastAsia="宋体" w:cs="宋体"/>
      <w:sz w:val="24"/>
      <w:szCs w:val="24"/>
    </w:rPr>
  </w:style>
  <w:style w:type="paragraph" w:styleId="10">
    <w:name w:val="annotation subject"/>
    <w:basedOn w:val="4"/>
    <w:next w:val="4"/>
    <w:link w:val="23"/>
    <w:semiHidden/>
    <w:unhideWhenUsed/>
    <w:qFormat/>
    <w:uiPriority w:val="99"/>
    <w:rPr>
      <w:b/>
      <w:bCs/>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annotation reference"/>
    <w:basedOn w:val="13"/>
    <w:semiHidden/>
    <w:unhideWhenUsed/>
    <w:qFormat/>
    <w:uiPriority w:val="99"/>
    <w:rPr>
      <w:sz w:val="21"/>
      <w:szCs w:val="21"/>
    </w:rPr>
  </w:style>
  <w:style w:type="paragraph" w:styleId="16">
    <w:name w:val="List Paragraph"/>
    <w:basedOn w:val="1"/>
    <w:qFormat/>
    <w:uiPriority w:val="34"/>
    <w:pPr>
      <w:ind w:firstLine="420" w:firstLineChars="200"/>
    </w:pPr>
  </w:style>
  <w:style w:type="character" w:customStyle="1" w:styleId="17">
    <w:name w:val="标题 1 Char"/>
    <w:basedOn w:val="13"/>
    <w:link w:val="2"/>
    <w:qFormat/>
    <w:uiPriority w:val="9"/>
    <w:rPr>
      <w:rFonts w:ascii="宋体" w:hAnsi="宋体" w:eastAsia="宋体" w:cs="宋体"/>
      <w:b/>
      <w:bCs/>
      <w:kern w:val="36"/>
      <w:sz w:val="48"/>
      <w:szCs w:val="48"/>
    </w:rPr>
  </w:style>
  <w:style w:type="character" w:customStyle="1" w:styleId="18">
    <w:name w:val="页眉 Char"/>
    <w:basedOn w:val="13"/>
    <w:link w:val="8"/>
    <w:qFormat/>
    <w:uiPriority w:val="99"/>
    <w:rPr>
      <w:rFonts w:ascii="Tahoma" w:hAnsi="Tahoma"/>
      <w:sz w:val="18"/>
      <w:szCs w:val="18"/>
    </w:rPr>
  </w:style>
  <w:style w:type="character" w:customStyle="1" w:styleId="19">
    <w:name w:val="页脚 Char"/>
    <w:basedOn w:val="13"/>
    <w:link w:val="7"/>
    <w:qFormat/>
    <w:uiPriority w:val="99"/>
    <w:rPr>
      <w:rFonts w:ascii="Tahoma" w:hAnsi="Tahoma"/>
      <w:sz w:val="18"/>
      <w:szCs w:val="18"/>
    </w:rPr>
  </w:style>
  <w:style w:type="character" w:customStyle="1" w:styleId="20">
    <w:name w:val="正文缩进 Char"/>
    <w:link w:val="3"/>
    <w:qFormat/>
    <w:locked/>
    <w:uiPriority w:val="0"/>
    <w:rPr>
      <w:rFonts w:ascii="Arial" w:hAnsi="Arial" w:eastAsia="宋体" w:cs="Times New Roman"/>
      <w:kern w:val="2"/>
      <w:sz w:val="24"/>
      <w:szCs w:val="24"/>
    </w:rPr>
  </w:style>
  <w:style w:type="character" w:customStyle="1" w:styleId="21">
    <w:name w:val="日期 Char"/>
    <w:basedOn w:val="13"/>
    <w:link w:val="5"/>
    <w:qFormat/>
    <w:uiPriority w:val="0"/>
    <w:rPr>
      <w:rFonts w:ascii="Times New Roman" w:hAnsi="Times New Roman" w:eastAsia="宋体" w:cs="Times New Roman"/>
      <w:sz w:val="24"/>
      <w:szCs w:val="24"/>
    </w:rPr>
  </w:style>
  <w:style w:type="character" w:customStyle="1" w:styleId="22">
    <w:name w:val="批注文字 Char"/>
    <w:basedOn w:val="13"/>
    <w:link w:val="4"/>
    <w:semiHidden/>
    <w:qFormat/>
    <w:uiPriority w:val="99"/>
    <w:rPr>
      <w:rFonts w:ascii="Tahoma" w:hAnsi="Tahoma" w:eastAsia="微软雅黑"/>
      <w:sz w:val="22"/>
      <w:szCs w:val="22"/>
    </w:rPr>
  </w:style>
  <w:style w:type="character" w:customStyle="1" w:styleId="23">
    <w:name w:val="批注主题 Char"/>
    <w:basedOn w:val="22"/>
    <w:link w:val="10"/>
    <w:semiHidden/>
    <w:qFormat/>
    <w:uiPriority w:val="99"/>
    <w:rPr>
      <w:rFonts w:ascii="Tahoma" w:hAnsi="Tahoma" w:eastAsia="微软雅黑"/>
      <w:b/>
      <w:bCs/>
      <w:sz w:val="22"/>
      <w:szCs w:val="22"/>
    </w:rPr>
  </w:style>
  <w:style w:type="character" w:customStyle="1" w:styleId="24">
    <w:name w:val="批注框文本 Char"/>
    <w:basedOn w:val="13"/>
    <w:link w:val="6"/>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A2F8D-7B2D-49C7-86EF-154505EE071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450</Words>
  <Characters>2571</Characters>
  <Lines>21</Lines>
  <Paragraphs>6</Paragraphs>
  <TotalTime>5786</TotalTime>
  <ScaleCrop>false</ScaleCrop>
  <LinksUpToDate>false</LinksUpToDate>
  <CharactersWithSpaces>3015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2020-01-06T08:00:00Z</dcterms:created>
  <dc:creator>张润华</dc:creator>
  <cp:lastModifiedBy>火星叔叔</cp:lastModifiedBy>
  <cp:lastPrinted>2021-12-22T02:32:00Z</cp:lastPrinted>
  <dcterms:modified xsi:type="dcterms:W3CDTF">2021-12-27T06:59:12Z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8C79EB70CD31405AB9AF5431A0F2D567</vt:lpwstr>
  </property>
</Properties>
</file>