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学生干部能力培训服务项目采购综合评分细则</w:t>
      </w:r>
      <w:bookmarkStart w:id="0" w:name="_GoBack"/>
      <w:bookmarkEnd w:id="0"/>
    </w:p>
    <w:tbl>
      <w:tblPr>
        <w:tblStyle w:val="2"/>
        <w:tblW w:w="93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811"/>
        <w:gridCol w:w="520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评  审  指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被评单位：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评分权重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价格部分（30%）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1.各参与供应商的投标报价中，控制在项目预算价以下为有效报价。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2.所有有效的投标报价中的最低价为评标基准价，按照下列公式计算每个投标人的投标价格得分。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投标报价得分＝（评标基准价/投标报价）×价格评分权重×100。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技术部分（50%）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1.结合项目需求和参培人员情况，制订专题活动方案，并响应项目需求得10分。在此基础上，方案中存在缺陷或不足，不利于项目实施的，每有一处扣 2分；不提供不得分。方案中有超出项目需求内容且有利于项目实施的，每有一项加 2 分，最多加 10 分。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2.两次拓展培训均配备不少于5名专业拓展教练，且具有2年及以上户外拓展培训经验得6分；在此基础上，每有一人具备体育相关专业本科及以上学历毕业证书的加1分，最多加4分。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提供相关人员有效证书或证明材料复印件（加盖公章）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3.结合项目需求安排后勤保障服务，餐食卫生营养，得7分，方案中有超出以上要求内容且有利于项目实施的，每有一项加1分，最多加3分。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餐饮服务提供菜单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定安全保障预案并包含突发事件应急措施。每具有一项得2分，最多得6分；在此基础上，方案中存在缺陷或不足，不利于项目实施的，每有一处扣2分；不提供不得分。方案中有超出以上要求内容且有利于项目实施的，每有一项加2分，最多加4分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项目业绩（15%）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具备类似高校培训项目业绩（以中标通知书或合同复印件为准），每有一项得1分，最高得15分。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63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售后部分（5%）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活动照片、视频响应需求，得4分,有超出以上要求内容且对反应活动效果有积极作用的加1分；有一项细微偏差扣1 分，直至该项分值扣完为止。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评标人：                                                总  分：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注：评分的取值按四舍五入法，保留小数点后两位。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B09D2"/>
    <w:multiLevelType w:val="multilevel"/>
    <w:tmpl w:val="FD9B09D2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gxMDg1MTc3MjQ0NGJhZTE1ZWZmMmFlOGVhNTEifQ=="/>
  </w:docVars>
  <w:rsids>
    <w:rsidRoot w:val="00000000"/>
    <w:rsid w:val="380A3B8E"/>
    <w:rsid w:val="518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740</Characters>
  <Lines>1</Lines>
  <Paragraphs>1</Paragraphs>
  <TotalTime>0</TotalTime>
  <ScaleCrop>false</ScaleCrop>
  <LinksUpToDate>false</LinksUpToDate>
  <CharactersWithSpaces>809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2022-06-09T02:55:00Z</dcterms:created>
  <dc:creator>THTFPC</dc:creator>
  <cp:lastModifiedBy>努力現在</cp:lastModifiedBy>
  <dcterms:modified xsi:type="dcterms:W3CDTF">2022-06-09T02:56:57Z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412129A7DD7841268E4594BDBDB45ACF</vt:lpwstr>
  </property>
</Properties>
</file>