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电梯维护保养服务</w:t>
      </w:r>
      <w:r>
        <w:rPr>
          <w:rFonts w:hint="eastAsia" w:ascii="方正小标宋简体" w:eastAsia="方正小标宋简体" w:hAnsiTheme="minorEastAsia"/>
          <w:sz w:val="44"/>
          <w:szCs w:val="44"/>
          <w:lang w:val="en-US" w:eastAsia="zh-CN"/>
        </w:rPr>
        <w:t>要求及</w:t>
      </w:r>
      <w:r>
        <w:rPr>
          <w:rFonts w:hint="eastAsia" w:ascii="方正小标宋简体" w:eastAsia="方正小标宋简体" w:hAnsiTheme="minorEastAsia"/>
          <w:sz w:val="44"/>
          <w:szCs w:val="44"/>
        </w:rPr>
        <w:t>评分标准</w:t>
      </w:r>
    </w:p>
    <w:p>
      <w:pPr>
        <w:pStyle w:val="2"/>
        <w:rPr>
          <w:rFonts w:hint="eastAsia"/>
          <w:b/>
          <w:bCs/>
          <w:sz w:val="28"/>
          <w:szCs w:val="28"/>
        </w:rPr>
      </w:pPr>
      <w:r>
        <w:rPr>
          <w:rFonts w:hint="eastAsia"/>
          <w:b/>
          <w:bCs/>
          <w:sz w:val="28"/>
          <w:szCs w:val="28"/>
          <w:lang w:val="en-US" w:eastAsia="zh-CN"/>
        </w:rPr>
        <w:t>一、</w:t>
      </w:r>
      <w:r>
        <w:rPr>
          <w:rFonts w:hint="eastAsia"/>
          <w:b/>
          <w:bCs/>
          <w:sz w:val="28"/>
          <w:szCs w:val="28"/>
        </w:rPr>
        <w:t>服务要求</w:t>
      </w:r>
    </w:p>
    <w:p>
      <w:pPr>
        <w:spacing w:line="360" w:lineRule="auto"/>
        <w:ind w:firstLine="560" w:firstLineChars="200"/>
        <w:rPr>
          <w:rFonts w:hint="default" w:ascii="仿宋" w:hAnsi="仿宋" w:eastAsia="仿宋" w:cs="仿宋"/>
          <w:color w:val="000000"/>
          <w:kern w:val="0"/>
          <w:sz w:val="28"/>
          <w:szCs w:val="28"/>
          <w:lang w:val="en-US" w:eastAsia="zh-CN"/>
        </w:rPr>
      </w:pPr>
      <w:r>
        <w:rPr>
          <w:rFonts w:hint="eastAsia" w:ascii="仿宋" w:hAnsi="仿宋" w:eastAsia="仿宋" w:cs="仿宋"/>
          <w:sz w:val="28"/>
          <w:szCs w:val="28"/>
        </w:rPr>
        <w:t>投标人对</w:t>
      </w:r>
      <w:r>
        <w:rPr>
          <w:rFonts w:hint="eastAsia" w:ascii="仿宋" w:hAnsi="仿宋" w:eastAsia="仿宋" w:cs="仿宋"/>
          <w:sz w:val="28"/>
          <w:szCs w:val="28"/>
          <w:lang w:val="en-US" w:eastAsia="zh-CN"/>
        </w:rPr>
        <w:t>9</w:t>
      </w:r>
      <w:r>
        <w:rPr>
          <w:rFonts w:hint="eastAsia" w:ascii="仿宋" w:hAnsi="仿宋" w:eastAsia="仿宋" w:cs="仿宋"/>
          <w:sz w:val="28"/>
          <w:szCs w:val="28"/>
        </w:rPr>
        <w:t>台电梯提供日常的维护、保养和抢修服务，</w:t>
      </w:r>
      <w:r>
        <w:rPr>
          <w:rFonts w:hint="eastAsia" w:ascii="仿宋" w:hAnsi="仿宋" w:eastAsia="仿宋" w:cs="仿宋"/>
          <w:color w:val="000000"/>
          <w:kern w:val="0"/>
          <w:sz w:val="28"/>
          <w:szCs w:val="28"/>
        </w:rPr>
        <w:t>按照《电梯维护保养规则》(TSG T5002-2017)的规定完成半月、季度、半年、年度维保项目，并做好维护保养记录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具体服务内容及要求如下：</w:t>
      </w:r>
    </w:p>
    <w:p>
      <w:pPr>
        <w:pStyle w:val="2"/>
        <w:rPr>
          <w:rFonts w:hint="eastAsia"/>
        </w:rPr>
      </w:pP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表A-1  半月维保项目（内容）和要求</w:t>
      </w:r>
    </w:p>
    <w:tbl>
      <w:tblPr>
        <w:tblStyle w:val="7"/>
        <w:tblW w:w="8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3347"/>
        <w:gridCol w:w="4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维保项目（内容）</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机房、滑轮间环境</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清洁，门窗完好，照明正常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手动紧急操作装置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齐全，在指定位置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驱动主机</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trike/>
                <w:kern w:val="0"/>
                <w:sz w:val="24"/>
                <w:szCs w:val="24"/>
              </w:rPr>
            </w:pPr>
            <w:r>
              <w:rPr>
                <w:rFonts w:hint="eastAsia" w:ascii="仿宋" w:hAnsi="仿宋" w:eastAsia="仿宋" w:cs="仿宋"/>
                <w:kern w:val="0"/>
                <w:sz w:val="24"/>
                <w:szCs w:val="24"/>
              </w:rPr>
              <w:t>运行时无异常振动和异常声响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制动器各销轴部位</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动作灵活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制动器间隙</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打开时制动衬与制动轮不应发生摩擦，间隙值符合制造单位要求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制动器作为轿厢意外移动保护装置制停子系统时的自检测</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制动力人工方式检测符合使用维护说明书要求；制动力自监测系统有记录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编码器</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清洁，安装牢固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限速器各销轴部位</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润滑，转动灵活；电气开关正常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层门和轿门旁路装置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紧急电动运行</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轿顶</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清洁，防护拦安全可靠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轿顶检修开关、急停装置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导靴上油杯</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吸油毛毡齐全，油量适宜，油杯无泄漏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对重/平衡重块及其压板</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对重/平衡重块无松动，压板紧固。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井道照明</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齐全，正常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轿厢照明、风扇、应急照明</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轿厢检修开关、停止装置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轿内报警装置、对讲系统</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trike/>
                <w:kern w:val="0"/>
                <w:sz w:val="24"/>
                <w:szCs w:val="24"/>
              </w:rPr>
            </w:pPr>
            <w:r>
              <w:rPr>
                <w:rFonts w:hint="eastAsia" w:ascii="仿宋" w:hAnsi="仿宋" w:eastAsia="仿宋" w:cs="仿宋"/>
                <w:kern w:val="0"/>
                <w:sz w:val="24"/>
                <w:szCs w:val="24"/>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轿内显示、指令按钮、IC卡系统</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轿门防撞击保护装置（安全触板，光幕、光电等）</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轿门门锁电气触点</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 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轿门运行</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开启和关闭工作正常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轿厢平层准确度</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符合标准值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层站召唤、层楼显示</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层门地坎</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层门自动关门装置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层门门锁自动复位</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层门门锁电气触点</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层门锁紧元件啮合长度</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底坑环境</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3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底坑停止装置</w:t>
            </w:r>
          </w:p>
        </w:tc>
        <w:tc>
          <w:tcPr>
            <w:tcW w:w="43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bl>
    <w:p>
      <w:pPr>
        <w:numPr>
          <w:ilvl w:val="0"/>
          <w:numId w:val="0"/>
        </w:numPr>
        <w:adjustRightInd w:val="0"/>
        <w:snapToGrid w:val="0"/>
        <w:spacing w:line="360" w:lineRule="auto"/>
        <w:ind w:leftChars="0"/>
        <w:rPr>
          <w:rFonts w:hint="eastAsia" w:ascii="仿宋" w:hAnsi="仿宋" w:eastAsia="仿宋" w:cs="仿宋"/>
          <w:kern w:val="0"/>
          <w:sz w:val="24"/>
          <w:szCs w:val="24"/>
        </w:rPr>
      </w:pPr>
    </w:p>
    <w:p>
      <w:pPr>
        <w:numPr>
          <w:ilvl w:val="0"/>
          <w:numId w:val="0"/>
        </w:numPr>
        <w:adjustRightInd w:val="0"/>
        <w:snapToGrid w:val="0"/>
        <w:spacing w:line="360" w:lineRule="auto"/>
        <w:ind w:left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季度维保项目（内容）和要求</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季度维保项目（内容）和要求除应符合A</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1的要求外，还应当符合表A-2的要求。</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表A-2  季度维保项目（内容）和要求</w:t>
      </w:r>
    </w:p>
    <w:tbl>
      <w:tblPr>
        <w:tblStyle w:val="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52"/>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552" w:type="dxa"/>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维保项目（内容）</w:t>
            </w:r>
          </w:p>
        </w:tc>
        <w:tc>
          <w:tcPr>
            <w:tcW w:w="4350" w:type="dxa"/>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减速机润滑油</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制动衬</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编码器</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选层器动静触点</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曳引轮槽、悬挂装置</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清洁，钢丝绳无严重油腻，张力均匀，符合制造单位要求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限速器轮槽、限速器钢丝绳</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靴衬、滚轮</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验证轿门关闭的电气安全装置</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层门、轿门系统中传动钢丝绳、链条、传动带</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层门门导靴</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消防开关</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耗能缓冲器</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552"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限速器</w:t>
            </w:r>
            <w:r>
              <w:rPr>
                <w:rFonts w:hint="eastAsia" w:ascii="仿宋" w:hAnsi="仿宋" w:eastAsia="仿宋" w:cs="仿宋"/>
                <w:bCs/>
                <w:kern w:val="0"/>
                <w:sz w:val="24"/>
                <w:szCs w:val="24"/>
              </w:rPr>
              <w:t>张</w:t>
            </w:r>
            <w:r>
              <w:rPr>
                <w:rFonts w:hint="eastAsia" w:ascii="仿宋" w:hAnsi="仿宋" w:eastAsia="仿宋" w:cs="仿宋"/>
                <w:kern w:val="0"/>
                <w:sz w:val="24"/>
                <w:szCs w:val="24"/>
              </w:rPr>
              <w:t>紧轮装置和电气安全装置</w:t>
            </w:r>
          </w:p>
        </w:tc>
        <w:tc>
          <w:tcPr>
            <w:tcW w:w="4350" w:type="dxa"/>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bl>
    <w:p>
      <w:pPr>
        <w:adjustRightInd w:val="0"/>
        <w:snapToGrid w:val="0"/>
        <w:spacing w:line="360" w:lineRule="auto"/>
        <w:ind w:firstLine="480" w:firstLineChars="200"/>
        <w:rPr>
          <w:rFonts w:hint="eastAsia" w:ascii="仿宋" w:hAnsi="仿宋" w:eastAsia="仿宋" w:cs="仿宋"/>
          <w:kern w:val="0"/>
          <w:sz w:val="24"/>
          <w:szCs w:val="24"/>
          <w:lang w:eastAsia="zh-CN"/>
        </w:rPr>
      </w:pPr>
    </w:p>
    <w:p>
      <w:pPr>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3半年维保项目（内容）和要求</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半年维保项目（内容）和要求除符合A2的要求外，还应当符合表A-3的要求。</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表A-3  半年维保项目（内容）和要求</w:t>
      </w:r>
    </w:p>
    <w:tbl>
      <w:tblPr>
        <w:tblStyle w:val="7"/>
        <w:tblW w:w="87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3"/>
        <w:gridCol w:w="3525"/>
        <w:gridCol w:w="4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维保项目（内容）</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电动机与减速机联轴器</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链接无松动，弹性元件外观良好，无老化等现象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驱动轮、导向轮轴承部</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无异常声响，无振动，润滑良好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曳引轮槽</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制动器动作状态监测装置</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控制柜内各接线端子</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控制柜各仪表</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显示正常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井道、对重、轿顶各反绳轮轴承部</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悬挂装置、补偿绳</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绳头组合</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限速器钢丝绳</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层门、轿门门扇</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门扇各相关间隙符合标准值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对重缓冲距离</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rPr>
                <w:rFonts w:hint="eastAsia" w:ascii="仿宋" w:hAnsi="仿宋" w:eastAsia="仿宋" w:cs="仿宋"/>
                <w:kern w:val="0"/>
                <w:sz w:val="24"/>
                <w:szCs w:val="24"/>
              </w:rPr>
            </w:pPr>
            <w:r>
              <w:rPr>
                <w:rFonts w:hint="eastAsia" w:ascii="仿宋" w:hAnsi="仿宋" w:eastAsia="仿宋" w:cs="仿宋"/>
                <w:kern w:val="0"/>
                <w:sz w:val="24"/>
                <w:szCs w:val="24"/>
              </w:rPr>
              <w:t>补偿链（绳）与轿厢、对重接合处</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rPr>
                <w:rFonts w:hint="eastAsia" w:ascii="仿宋" w:hAnsi="仿宋" w:eastAsia="仿宋" w:cs="仿宋"/>
                <w:kern w:val="0"/>
                <w:sz w:val="24"/>
                <w:szCs w:val="24"/>
              </w:rPr>
            </w:pPr>
            <w:r>
              <w:rPr>
                <w:rFonts w:hint="eastAsia" w:ascii="仿宋" w:hAnsi="仿宋" w:eastAsia="仿宋" w:cs="仿宋"/>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上、下极限开关</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4  年度维保项目（内容）和要求</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年度维保项目（内容）和要求除符合A3的外，还应当符合表A-4的要求。</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表A-4  年度维保项目（内容）和要求</w:t>
      </w:r>
    </w:p>
    <w:tbl>
      <w:tblPr>
        <w:tblStyle w:val="7"/>
        <w:tblW w:w="87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549"/>
        <w:gridCol w:w="4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维保项目（内容）</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减速机润滑油</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控制柜接触器、继电器触点</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制动器铁芯（柱塞）</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bCs/>
                <w:kern w:val="0"/>
                <w:sz w:val="24"/>
                <w:szCs w:val="24"/>
              </w:rPr>
              <w:t>进行</w:t>
            </w:r>
            <w:r>
              <w:rPr>
                <w:rFonts w:hint="eastAsia" w:ascii="仿宋" w:hAnsi="仿宋" w:eastAsia="仿宋" w:cs="仿宋"/>
                <w:kern w:val="0"/>
                <w:sz w:val="24"/>
                <w:szCs w:val="24"/>
              </w:rPr>
              <w:t>清洁、润滑、</w:t>
            </w:r>
            <w:r>
              <w:rPr>
                <w:rFonts w:hint="eastAsia" w:ascii="仿宋" w:hAnsi="仿宋" w:eastAsia="仿宋" w:cs="仿宋"/>
                <w:bCs/>
                <w:kern w:val="0"/>
                <w:sz w:val="24"/>
                <w:szCs w:val="24"/>
              </w:rPr>
              <w:t>检查，</w:t>
            </w:r>
            <w:r>
              <w:rPr>
                <w:rFonts w:hint="eastAsia" w:ascii="仿宋" w:hAnsi="仿宋" w:eastAsia="仿宋" w:cs="仿宋"/>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制动器制动能力</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符合制造单位要求，保持有足够的制动力，必要时进行轿厢装载125%额定载重量的制动试验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导电回路绝缘性能</w:t>
            </w:r>
            <w:r>
              <w:rPr>
                <w:rFonts w:hint="eastAsia" w:ascii="仿宋" w:hAnsi="仿宋" w:eastAsia="仿宋" w:cs="仿宋"/>
                <w:bCs/>
                <w:kern w:val="0"/>
                <w:sz w:val="24"/>
                <w:szCs w:val="24"/>
              </w:rPr>
              <w:t>测试</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限速器安全钳联动试验（对于使用年限不超过15年的限速器，每2年进行一次限速器动作速度校验；对于使用年限超过5年的限速器，每年进行一次限速器动作速度校验）</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上行超速保护装置动作试验</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轿厢意外移动保护装置动作试验</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bCs/>
                <w:kern w:val="0"/>
                <w:sz w:val="24"/>
                <w:szCs w:val="24"/>
              </w:rPr>
              <w:t>9</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轿顶、轿厢架、轿门及其附件安装螺栓</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10</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轿厢和对重/平衡重的导轨支架</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kern w:val="0"/>
                <w:sz w:val="24"/>
                <w:szCs w:val="24"/>
              </w:rPr>
            </w:pPr>
            <w:r>
              <w:rPr>
                <w:rFonts w:hint="eastAsia" w:ascii="仿宋" w:hAnsi="仿宋" w:eastAsia="仿宋" w:cs="仿宋"/>
                <w:bCs/>
                <w:kern w:val="0"/>
                <w:sz w:val="24"/>
                <w:szCs w:val="24"/>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kern w:val="0"/>
                <w:sz w:val="24"/>
                <w:szCs w:val="24"/>
              </w:rPr>
              <w:t>11</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kern w:val="0"/>
                <w:sz w:val="24"/>
                <w:szCs w:val="24"/>
              </w:rPr>
            </w:pPr>
            <w:r>
              <w:rPr>
                <w:rFonts w:hint="eastAsia" w:ascii="仿宋" w:hAnsi="仿宋" w:eastAsia="仿宋" w:cs="仿宋"/>
                <w:bCs/>
                <w:sz w:val="24"/>
                <w:szCs w:val="24"/>
              </w:rPr>
              <w:t>轿厢和</w:t>
            </w:r>
            <w:r>
              <w:rPr>
                <w:rFonts w:hint="eastAsia" w:ascii="仿宋" w:hAnsi="仿宋" w:eastAsia="仿宋" w:cs="仿宋"/>
                <w:bCs/>
                <w:kern w:val="0"/>
                <w:sz w:val="24"/>
                <w:szCs w:val="24"/>
              </w:rPr>
              <w:t>对重/平衡重</w:t>
            </w:r>
            <w:r>
              <w:rPr>
                <w:rFonts w:hint="eastAsia" w:ascii="仿宋" w:hAnsi="仿宋" w:eastAsia="仿宋" w:cs="仿宋"/>
                <w:bCs/>
                <w:sz w:val="24"/>
                <w:szCs w:val="24"/>
              </w:rPr>
              <w:t>的导轨</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Cs/>
                <w:sz w:val="24"/>
                <w:szCs w:val="24"/>
              </w:rPr>
            </w:pPr>
            <w:r>
              <w:rPr>
                <w:rFonts w:hint="eastAsia" w:ascii="仿宋" w:hAnsi="仿宋" w:eastAsia="仿宋" w:cs="仿宋"/>
                <w:bCs/>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随行电缆</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层门装置和地坎</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轿厢称重装置</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安全钳钳座</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sz w:val="24"/>
                <w:szCs w:val="24"/>
              </w:rPr>
              <w:t>轿底各安装螺栓</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 w:val="24"/>
                <w:szCs w:val="24"/>
              </w:rPr>
            </w:pPr>
            <w:r>
              <w:rPr>
                <w:rFonts w:hint="eastAsia" w:ascii="仿宋" w:hAnsi="仿宋" w:eastAsia="仿宋" w:cs="仿宋"/>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354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缓冲器</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固定，无松动</w:t>
            </w:r>
          </w:p>
        </w:tc>
      </w:tr>
    </w:tbl>
    <w:p>
      <w:pPr>
        <w:pStyle w:val="5"/>
        <w:adjustRightInd w:val="0"/>
        <w:snapToGrid w:val="0"/>
        <w:spacing w:line="360" w:lineRule="auto"/>
        <w:ind w:left="0" w:leftChars="0" w:firstLine="480" w:firstLineChars="200"/>
        <w:rPr>
          <w:rFonts w:hint="eastAsia" w:ascii="仿宋" w:hAnsi="仿宋" w:eastAsia="仿宋" w:cs="仿宋"/>
          <w:sz w:val="24"/>
          <w:szCs w:val="24"/>
        </w:rPr>
      </w:pPr>
    </w:p>
    <w:p>
      <w:pPr>
        <w:pStyle w:val="5"/>
        <w:adjustRightInd w:val="0"/>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注A-1：如果某些电梯没有表中的项目（内容），如有的电梯不含有某种部件，项目（内容）得到使用单位认可后完成维保（下同）。</w:t>
      </w:r>
    </w:p>
    <w:p>
      <w:pPr>
        <w:pStyle w:val="5"/>
        <w:adjustRightInd w:val="0"/>
        <w:snapToGrid w:val="0"/>
        <w:spacing w:line="360" w:lineRule="auto"/>
        <w:ind w:left="0" w:firstLine="480" w:firstLineChars="200"/>
        <w:rPr>
          <w:rFonts w:hint="eastAsia" w:ascii="仿宋" w:hAnsi="仿宋" w:eastAsia="仿宋" w:cs="仿宋"/>
          <w:b/>
          <w:sz w:val="24"/>
          <w:szCs w:val="24"/>
        </w:rPr>
      </w:pPr>
      <w:r>
        <w:rPr>
          <w:rFonts w:hint="eastAsia" w:ascii="仿宋" w:hAnsi="仿宋" w:eastAsia="仿宋" w:cs="仿宋"/>
          <w:sz w:val="24"/>
          <w:szCs w:val="24"/>
        </w:rPr>
        <w:t>注A-2：维护保养项目（内容）和要求中对测试、试验有明确规定的，应当按照规定进行测试、试验，没有明确规定，一般为检查、调整、清洁和润滑（下同）。</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注A-3：维护保养基本要求中，规定为“符合标准值”的，是指符合对应的国家标准、行业标准和制造单位要求（下同）。</w:t>
      </w:r>
    </w:p>
    <w:p>
      <w:pPr>
        <w:widowControl/>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注A-4：维护保养基本要求中，规定为“制造单位要求”的，按照制造单位的要求，其他没有明确的“要求”，应当为安全技术规范、标准或者制造单位等的要求。</w:t>
      </w:r>
    </w:p>
    <w:p>
      <w:pPr>
        <w:pStyle w:val="2"/>
        <w:rPr>
          <w:rFonts w:hint="eastAsia" w:ascii="仿宋_GB2312" w:eastAsia="仿宋_GB2312"/>
          <w:b/>
          <w:bCs/>
          <w:sz w:val="28"/>
          <w:szCs w:val="28"/>
          <w:lang w:val="en-US" w:eastAsia="zh-CN"/>
        </w:rPr>
      </w:pPr>
    </w:p>
    <w:p>
      <w:pPr>
        <w:pStyle w:val="2"/>
        <w:rPr>
          <w:rFonts w:hint="eastAsia" w:ascii="仿宋_GB2312" w:eastAsia="仿宋_GB2312"/>
          <w:b/>
          <w:bCs/>
          <w:sz w:val="28"/>
          <w:szCs w:val="28"/>
          <w:lang w:val="en-US" w:eastAsia="zh-CN"/>
        </w:rPr>
      </w:pPr>
    </w:p>
    <w:p>
      <w:pPr>
        <w:pStyle w:val="2"/>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二、评分标准</w:t>
      </w:r>
    </w:p>
    <w:tbl>
      <w:tblPr>
        <w:tblStyle w:val="7"/>
        <w:tblW w:w="910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5"/>
        <w:gridCol w:w="1350"/>
        <w:gridCol w:w="438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评分</w:t>
            </w:r>
          </w:p>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因素</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分　值</w:t>
            </w:r>
          </w:p>
        </w:tc>
        <w:tc>
          <w:tcPr>
            <w:tcW w:w="438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评分标准</w:t>
            </w:r>
          </w:p>
        </w:tc>
        <w:tc>
          <w:tcPr>
            <w:tcW w:w="12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rPr>
            </w:pPr>
            <w:r>
              <w:rPr>
                <w:rFonts w:hint="eastAsia" w:ascii="仿宋_GB2312" w:hAnsi="宋体" w:eastAsia="仿宋_GB2312" w:cs="Times New Roman"/>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报价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50分</w:t>
            </w:r>
          </w:p>
        </w:tc>
        <w:tc>
          <w:tcPr>
            <w:tcW w:w="4387"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仿宋" w:hAnsi="仿宋" w:eastAsia="仿宋" w:cs="仿宋"/>
                <w:sz w:val="24"/>
              </w:rPr>
            </w:pPr>
            <w:r>
              <w:rPr>
                <w:rFonts w:hint="eastAsia" w:ascii="仿宋" w:hAnsi="仿宋" w:eastAsia="仿宋" w:cs="仿宋"/>
                <w:sz w:val="24"/>
              </w:rPr>
              <w:t>以本次投标人报价单上最低价为基准价，投标报价得分=(基准价／投标报价)×50</w:t>
            </w:r>
          </w:p>
        </w:tc>
        <w:tc>
          <w:tcPr>
            <w:tcW w:w="12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服务方案</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20分</w:t>
            </w:r>
          </w:p>
        </w:tc>
        <w:tc>
          <w:tcPr>
            <w:tcW w:w="43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仿宋" w:hAnsi="仿宋" w:eastAsia="仿宋" w:cs="仿宋"/>
                <w:sz w:val="24"/>
              </w:rPr>
            </w:pPr>
            <w:r>
              <w:rPr>
                <w:rFonts w:hint="eastAsia" w:ascii="仿宋" w:hAnsi="仿宋" w:eastAsia="仿宋" w:cs="仿宋"/>
                <w:sz w:val="24"/>
              </w:rPr>
              <w:t>供应商针对本项目实际要求编制技术服务方案，内容包括但不限于维保计划安排、维保组织架构、安全管理计划，质量控制措施。方案内容完全包含以上内容且科学合理科学合理并符合本项目实际需求得5分；每有一项缺失或不合理或不符合本项目实际需求的扣5分，扣完为止。</w:t>
            </w:r>
          </w:p>
        </w:tc>
        <w:tc>
          <w:tcPr>
            <w:tcW w:w="12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业绩</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10分</w:t>
            </w:r>
          </w:p>
        </w:tc>
        <w:tc>
          <w:tcPr>
            <w:tcW w:w="43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仿宋" w:hAnsi="仿宋" w:eastAsia="仿宋" w:cs="仿宋"/>
                <w:sz w:val="24"/>
              </w:rPr>
            </w:pPr>
            <w:r>
              <w:rPr>
                <w:rFonts w:hint="eastAsia" w:ascii="仿宋" w:hAnsi="仿宋" w:eastAsia="仿宋" w:cs="仿宋"/>
                <w:sz w:val="24"/>
              </w:rPr>
              <w:t>提供2020 、2021、2022年度，为企事业单位提供电梯维护保养工作合同，一个合同1分。</w:t>
            </w:r>
          </w:p>
        </w:tc>
        <w:tc>
          <w:tcPr>
            <w:tcW w:w="12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服务团队</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0分</w:t>
            </w:r>
          </w:p>
        </w:tc>
        <w:tc>
          <w:tcPr>
            <w:tcW w:w="43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default" w:ascii="仿宋" w:hAnsi="仿宋" w:eastAsia="仿宋" w:cs="仿宋"/>
                <w:sz w:val="24"/>
                <w:lang w:val="en-US" w:eastAsia="zh-CN"/>
              </w:rPr>
            </w:pPr>
            <w:r>
              <w:rPr>
                <w:rFonts w:hint="eastAsia" w:ascii="仿宋" w:hAnsi="仿宋" w:eastAsia="仿宋" w:cs="仿宋"/>
                <w:sz w:val="24"/>
              </w:rPr>
              <w:t>对本项目配备的服务</w:t>
            </w:r>
            <w:r>
              <w:rPr>
                <w:rFonts w:hint="eastAsia" w:ascii="仿宋" w:hAnsi="仿宋" w:eastAsia="仿宋" w:cs="仿宋"/>
                <w:sz w:val="24"/>
                <w:lang w:eastAsia="zh-CN"/>
              </w:rPr>
              <w:t>团队</w:t>
            </w:r>
            <w:r>
              <w:rPr>
                <w:rFonts w:hint="eastAsia" w:ascii="仿宋" w:hAnsi="仿宋" w:eastAsia="仿宋" w:cs="仿宋"/>
                <w:sz w:val="24"/>
              </w:rPr>
              <w:t>人员配备情况进行评审。提供</w:t>
            </w:r>
            <w:r>
              <w:rPr>
                <w:rFonts w:hint="eastAsia" w:ascii="仿宋" w:hAnsi="仿宋" w:eastAsia="仿宋" w:cs="仿宋"/>
                <w:sz w:val="24"/>
                <w:lang w:val="en-US" w:eastAsia="zh-CN"/>
              </w:rPr>
              <w:t>机械、设备安装、维修工程师证书的每提供一个得2分，最多得4分，提供电梯维保人员特种设备职业资格证书的每个证书得1分，最多</w:t>
            </w:r>
            <w:r>
              <w:rPr>
                <w:rFonts w:hint="default" w:ascii="仿宋" w:hAnsi="仿宋" w:eastAsia="仿宋" w:cs="仿宋"/>
                <w:sz w:val="24"/>
              </w:rPr>
              <w:t>得</w:t>
            </w:r>
            <w:r>
              <w:rPr>
                <w:rFonts w:hint="eastAsia" w:ascii="仿宋" w:hAnsi="仿宋" w:eastAsia="仿宋" w:cs="仿宋"/>
                <w:sz w:val="24"/>
                <w:lang w:val="en-US" w:eastAsia="zh-CN"/>
              </w:rPr>
              <w:t>6</w:t>
            </w:r>
            <w:r>
              <w:rPr>
                <w:rFonts w:hint="default" w:ascii="仿宋" w:hAnsi="仿宋" w:eastAsia="仿宋" w:cs="仿宋"/>
                <w:sz w:val="24"/>
              </w:rPr>
              <w:t>分； 未提供齐全证明资料的不得分。</w:t>
            </w:r>
          </w:p>
          <w:p>
            <w:pPr>
              <w:spacing w:line="400" w:lineRule="exact"/>
              <w:ind w:firstLine="28"/>
              <w:jc w:val="center"/>
              <w:rPr>
                <w:rFonts w:hint="eastAsia" w:ascii="仿宋" w:hAnsi="仿宋" w:eastAsia="仿宋" w:cs="仿宋"/>
                <w:sz w:val="24"/>
              </w:rPr>
            </w:pPr>
          </w:p>
        </w:tc>
        <w:tc>
          <w:tcPr>
            <w:tcW w:w="12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应急响应服务</w:t>
            </w:r>
          </w:p>
        </w:tc>
        <w:tc>
          <w:tcPr>
            <w:tcW w:w="13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0分</w:t>
            </w:r>
          </w:p>
        </w:tc>
        <w:tc>
          <w:tcPr>
            <w:tcW w:w="43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default" w:ascii="仿宋" w:hAnsi="仿宋" w:eastAsia="仿宋" w:cs="仿宋"/>
                <w:sz w:val="24"/>
                <w:lang w:val="en-US" w:eastAsia="zh-CN"/>
              </w:rPr>
            </w:pPr>
            <w:r>
              <w:rPr>
                <w:rFonts w:hint="eastAsia" w:ascii="仿宋" w:hAnsi="仿宋" w:eastAsia="仿宋" w:cs="仿宋"/>
                <w:sz w:val="24"/>
                <w:lang w:val="en-US" w:eastAsia="zh-CN"/>
              </w:rPr>
              <w:t>突发应急事件处理及维修响应20分钟内到达现场处理得10分，21-30分钟到达现场处理得7分，30-40分钟到达现场处理得3分，超过40分钟到达现场不得分。(提供承诺函）</w:t>
            </w:r>
          </w:p>
          <w:p>
            <w:pPr>
              <w:spacing w:line="400" w:lineRule="exact"/>
              <w:ind w:firstLine="28"/>
              <w:jc w:val="center"/>
              <w:rPr>
                <w:rFonts w:hint="eastAsia" w:ascii="仿宋" w:hAnsi="仿宋" w:eastAsia="仿宋" w:cs="仿宋"/>
                <w:sz w:val="24"/>
              </w:rPr>
            </w:pPr>
          </w:p>
        </w:tc>
        <w:tc>
          <w:tcPr>
            <w:tcW w:w="122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仿宋" w:hAnsi="仿宋" w:eastAsia="仿宋" w:cs="仿宋"/>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ThkMWVhYzZiYWU4YWVlMGE0OWRlMmIxNDUyODQifQ=="/>
  </w:docVars>
  <w:rsids>
    <w:rsidRoot w:val="647C49A5"/>
    <w:rsid w:val="066A7A79"/>
    <w:rsid w:val="08A41020"/>
    <w:rsid w:val="14DB276C"/>
    <w:rsid w:val="1A8B09AA"/>
    <w:rsid w:val="1EAD5024"/>
    <w:rsid w:val="25F6274C"/>
    <w:rsid w:val="2BC16647"/>
    <w:rsid w:val="4194717D"/>
    <w:rsid w:val="47F95F8C"/>
    <w:rsid w:val="54A74DAC"/>
    <w:rsid w:val="57212E09"/>
    <w:rsid w:val="647C49A5"/>
    <w:rsid w:val="6D8B6DD7"/>
    <w:rsid w:val="702C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c 1"/>
    <w:basedOn w:val="1"/>
    <w:next w:val="1"/>
    <w:qFormat/>
    <w:uiPriority w:val="0"/>
  </w:style>
  <w:style w:type="paragraph" w:styleId="5">
    <w:name w:val="Body Text Indent"/>
    <w:basedOn w:val="1"/>
    <w:next w:val="6"/>
    <w:qFormat/>
    <w:uiPriority w:val="0"/>
    <w:pPr>
      <w:ind w:firstLine="630"/>
    </w:pPr>
    <w:rPr>
      <w:sz w:val="32"/>
      <w:szCs w:val="20"/>
    </w:rPr>
  </w:style>
  <w:style w:type="paragraph" w:customStyle="1" w:styleId="6">
    <w:name w:val="_Style 4"/>
    <w:next w:val="1"/>
    <w:qFormat/>
    <w:uiPriority w:val="0"/>
    <w:pPr>
      <w:wordWrap w:val="0"/>
    </w:pPr>
    <w:rPr>
      <w:rFonts w:ascii="Calibri" w:hAnsi="Calibri" w:eastAsia="宋体"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2603</Words>
  <Characters>2715</Characters>
  <Lines>0</Lines>
  <Paragraphs>0</Paragraphs>
  <TotalTime>158</TotalTime>
  <ScaleCrop>false</ScaleCrop>
  <LinksUpToDate>false</LinksUpToDate>
  <CharactersWithSpaces>2732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2022-11-03T02:24:00Z</dcterms:created>
  <dc:creator>一介布衣</dc:creator>
  <cp:lastModifiedBy>一介布衣</cp:lastModifiedBy>
  <dcterms:modified xsi:type="dcterms:W3CDTF">2022-11-15T09:31:51Z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05777C5072394189A94E39FCB256D1BB</vt:lpwstr>
  </property>
</Properties>
</file>