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  <w:t>四川护理职业学院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  <w:lang w:val="en-US" w:eastAsia="zh-CN"/>
        </w:rPr>
        <w:t>医工实训设备</w:t>
      </w: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  <w:t>采购招标项目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  <w:t>集中推荐日活动公告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黑体" w:hAnsi="黑体" w:eastAsia="黑体" w:cs="黑体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</w:rPr>
        <w:t>一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采购项目征集内容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现向面向社会发布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四川护理职业学院2023年医工实训设备采购招标项目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集中推荐日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公告，欢迎各潜在投标人向我院积极推荐相关货物。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黑体" w:hAnsi="黑体" w:eastAsia="黑体" w:cs="黑体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</w:rPr>
        <w:t>二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采购品信息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详见附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件1.采购清单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</w:rPr>
        <w:t>三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提交要求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参与本次推荐日活动的商家须提供包括但不限于以下信息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及纸质资料：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1、公司名称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2、产品名称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规格型号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、生产厂家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医疗器械注册证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、报价（无二次报价）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、商品编码或产品ID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、联系人姓名及电话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、联系人邮箱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、产品彩页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、产品技术参数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该产品应用的医院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黑体" w:hAnsi="黑体" w:eastAsia="黑体" w:cs="黑体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</w:rPr>
        <w:t>四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征集方案要求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1.本次供应商集中</w:t>
      </w:r>
      <w:bookmarkStart w:id="0" w:name="_Hlk119341115"/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推荐日活动</w:t>
      </w:r>
      <w:bookmarkEnd w:id="0"/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线下举行，请报名参加推荐的各商家准备产品说明书、成交记录、单价等相关信息进行介绍。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2.本推荐日活动相关材料一式一份。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3.本次推荐日相关安排如有变动，将在中国政府采购网及四川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护理学院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官网发布变更公告。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黑体" w:hAnsi="黑体" w:eastAsia="黑体" w:cs="黑体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</w:rPr>
        <w:t>五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征集安排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1.信息公告时间：2022年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日-202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日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2.报名时间、地址：2022年12月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日-202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日，上午9：00-下午17:00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指定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(320358085@qq.com)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递交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回执（附件2）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3.集中推荐日时间、地点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分于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四川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护理职业学院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龙泉驿区龙都南路173号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），迟到或未报名的资料将被拒收。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联系方式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：四川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护理职业学院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通讯地址：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四川省成都市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龙泉驿区龙都南路173号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邮编：610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00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梅老师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028-63955482</w:t>
      </w:r>
      <w:bookmarkStart w:id="1" w:name="_GoBack"/>
      <w:bookmarkEnd w:id="1"/>
    </w:p>
    <w:p>
      <w:pPr>
        <w:pStyle w:val="7"/>
        <w:shd w:val="clear" w:color="auto" w:fill="FFFFFF"/>
        <w:spacing w:before="0" w:beforeAutospacing="0" w:after="0" w:afterAutospacing="0" w:line="500" w:lineRule="atLeast"/>
        <w:ind w:left="1918" w:leftChars="304" w:hanging="1280" w:hangingChars="40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附件：1.四川护理职业学院2023年医工实训设备采购清单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left="1916" w:leftChars="760" w:hanging="320" w:hangingChars="10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2.四川护理职业学院2023年医工实训设备采购招标项目集中推荐日活动报名回执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附件1.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  <w:lang w:val="en-US" w:eastAsia="zh-CN"/>
        </w:rPr>
        <w:t>四川护理职业学院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  <w:lang w:val="en-US" w:eastAsia="zh-CN"/>
        </w:rPr>
        <w:t>2023年医工实训设备采购清单</w:t>
      </w:r>
    </w:p>
    <w:tbl>
      <w:tblPr>
        <w:tblStyle w:val="10"/>
        <w:tblW w:w="52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502"/>
        <w:gridCol w:w="779"/>
        <w:gridCol w:w="626"/>
        <w:gridCol w:w="846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tblHeader/>
          <w:jc w:val="center"/>
        </w:trPr>
        <w:tc>
          <w:tcPr>
            <w:tcW w:w="547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</w:rPr>
              <w:t>包号</w:t>
            </w:r>
          </w:p>
        </w:tc>
        <w:tc>
          <w:tcPr>
            <w:tcW w:w="832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</w:rPr>
              <w:t>标的名称</w:t>
            </w:r>
          </w:p>
        </w:tc>
        <w:tc>
          <w:tcPr>
            <w:tcW w:w="431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</w:rPr>
              <w:t>品目名称</w:t>
            </w:r>
          </w:p>
        </w:tc>
        <w:tc>
          <w:tcPr>
            <w:tcW w:w="346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</w:rPr>
              <w:t>单位</w:t>
            </w:r>
          </w:p>
        </w:tc>
        <w:tc>
          <w:tcPr>
            <w:tcW w:w="468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</w:rPr>
              <w:t>数量</w:t>
            </w:r>
          </w:p>
        </w:tc>
        <w:tc>
          <w:tcPr>
            <w:tcW w:w="2372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</w:rPr>
              <w:t>功能和质量要求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7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32" w:type="pct"/>
            <w:vMerge w:val="restar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电子焊接实训室</w:t>
            </w:r>
          </w:p>
        </w:tc>
        <w:tc>
          <w:tcPr>
            <w:tcW w:w="431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</w:rPr>
              <w:t>实验台</w:t>
            </w:r>
          </w:p>
        </w:tc>
        <w:tc>
          <w:tcPr>
            <w:tcW w:w="346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张</w:t>
            </w:r>
          </w:p>
        </w:tc>
        <w:tc>
          <w:tcPr>
            <w:tcW w:w="468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372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both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含电源插座的钢木结构实验台、能够放置示波器、稳压电源、信号发生器、拆焊台等设备，可完成电子焊接等实验操作。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7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32" w:type="pct"/>
            <w:vMerge w:val="continue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1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</w:rPr>
              <w:t>数字示波器</w:t>
            </w:r>
          </w:p>
        </w:tc>
        <w:tc>
          <w:tcPr>
            <w:tcW w:w="346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台</w:t>
            </w:r>
          </w:p>
        </w:tc>
        <w:tc>
          <w:tcPr>
            <w:tcW w:w="468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372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可进行交直流电波形显示、各种电量（如电压、周期、相位差等）的测量，帮助完成电学相关实验实训。要求：2通道，100M带宽，1GSa/s采样率，</w:t>
            </w:r>
            <w:r>
              <w:rPr>
                <w:rFonts w:hint="eastAsia" w:ascii="宋体" w:hAnsi="宋体" w:eastAsia="宋体" w:cs="宋体"/>
                <w:shd w:val="clear" w:color="auto" w:fill="FFFFFF"/>
              </w:rPr>
              <w:t>8000wfms/s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以上波形刷新率，2ns/div～50s/div时间轴宽度；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7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32" w:type="pct"/>
            <w:vMerge w:val="continue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1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</w:rPr>
              <w:t>任意波发生器</w:t>
            </w:r>
          </w:p>
        </w:tc>
        <w:tc>
          <w:tcPr>
            <w:tcW w:w="346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台</w:t>
            </w:r>
          </w:p>
        </w:tc>
        <w:tc>
          <w:tcPr>
            <w:tcW w:w="468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372" w:type="pct"/>
            <w:vAlign w:val="center"/>
          </w:tcPr>
          <w:p>
            <w:pPr>
              <w:pStyle w:val="7"/>
              <w:widowControl/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shd w:val="clear" w:color="auto" w:fill="FFFFFF"/>
              </w:rPr>
              <w:t>能够输出正弦波、方波、三角波、任意波形等以满足电子相关实验实训需求。要求：2通道，25MHz带宽，1</w:t>
            </w:r>
            <w:r>
              <w:rPr>
                <w:rFonts w:ascii="Times New Roman" w:hAnsi="Times New Roman" w:eastAsia="宋体"/>
                <w:sz w:val="28"/>
                <w:szCs w:val="28"/>
                <w:shd w:val="clear" w:color="auto" w:fill="FFFFFF"/>
              </w:rPr>
              <w:t>μ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shd w:val="clear" w:color="auto" w:fill="FFFFFF"/>
              </w:rPr>
              <w:t>Hz～25MHz正弦波输出，高于100MSa/s采样率，14位垂直分辨率。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7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32" w:type="pct"/>
            <w:vMerge w:val="continue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1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</w:rPr>
              <w:t>恒温拆焊台</w:t>
            </w:r>
          </w:p>
        </w:tc>
        <w:tc>
          <w:tcPr>
            <w:tcW w:w="346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台</w:t>
            </w:r>
          </w:p>
        </w:tc>
        <w:tc>
          <w:tcPr>
            <w:tcW w:w="468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372" w:type="pct"/>
            <w:vAlign w:val="center"/>
          </w:tcPr>
          <w:p>
            <w:pPr>
              <w:pStyle w:val="7"/>
              <w:widowControl/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shd w:val="clear" w:color="auto" w:fill="FFFFFF"/>
              </w:rPr>
              <w:t>能够完成电子元器件的焊接和拆卸。要求：烙铁风枪二合一，主机功率小于700W，输出温度：100～500℃，风流量小于等于120L/min；电烙铁功率大于等于50W。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7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32" w:type="pct"/>
            <w:vMerge w:val="continue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1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</w:rPr>
              <w:t>电子组装焊接套件</w:t>
            </w:r>
          </w:p>
        </w:tc>
        <w:tc>
          <w:tcPr>
            <w:tcW w:w="346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套</w:t>
            </w:r>
          </w:p>
        </w:tc>
        <w:tc>
          <w:tcPr>
            <w:tcW w:w="468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372" w:type="pct"/>
            <w:vAlign w:val="center"/>
          </w:tcPr>
          <w:p>
            <w:pPr>
              <w:pStyle w:val="7"/>
              <w:widowControl/>
              <w:spacing w:beforeAutospacing="0" w:afterAutospacing="0" w:line="320" w:lineRule="exact"/>
              <w:jc w:val="both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训练学生简单电子电路的分析、电子器件的组装、焊接、拆卸技能。</w:t>
            </w:r>
          </w:p>
        </w:tc>
      </w:tr>
    </w:tbl>
    <w:p>
      <w:pPr>
        <w:rPr>
          <w:rFonts w:hint="default" w:ascii="黑体" w:hAnsi="黑体" w:eastAsia="黑体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附件2.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32"/>
          <w:szCs w:val="32"/>
          <w:lang w:val="en-US" w:eastAsia="zh-CN"/>
        </w:rPr>
        <w:t>四川护理职业学院2023年医工实训设备招标项目集中推荐日活动报名回执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36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  <w:t>参加人员姓名</w:t>
            </w: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sectPr>
      <w:pgSz w:w="11906" w:h="16838"/>
      <w:pgMar w:top="1100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NDAxZmEwNjAyMWRiNTZhOWFiYzRkMDkyYTg3OTEifQ=="/>
  </w:docVars>
  <w:rsids>
    <w:rsidRoot w:val="001045B9"/>
    <w:rsid w:val="0002617B"/>
    <w:rsid w:val="00073E9C"/>
    <w:rsid w:val="00096AF9"/>
    <w:rsid w:val="001045B9"/>
    <w:rsid w:val="0026162F"/>
    <w:rsid w:val="003468E1"/>
    <w:rsid w:val="003A4D66"/>
    <w:rsid w:val="003C312F"/>
    <w:rsid w:val="005128E2"/>
    <w:rsid w:val="0052313E"/>
    <w:rsid w:val="005548DD"/>
    <w:rsid w:val="00557912"/>
    <w:rsid w:val="005A2748"/>
    <w:rsid w:val="00675A87"/>
    <w:rsid w:val="00797261"/>
    <w:rsid w:val="00851AED"/>
    <w:rsid w:val="00864F1A"/>
    <w:rsid w:val="00900B7E"/>
    <w:rsid w:val="00B31606"/>
    <w:rsid w:val="00B51867"/>
    <w:rsid w:val="00BA444D"/>
    <w:rsid w:val="00BB330E"/>
    <w:rsid w:val="00BC54AC"/>
    <w:rsid w:val="00CD0CF5"/>
    <w:rsid w:val="00F124D9"/>
    <w:rsid w:val="00F3462F"/>
    <w:rsid w:val="03C409EF"/>
    <w:rsid w:val="24286261"/>
    <w:rsid w:val="25C20A11"/>
    <w:rsid w:val="27AF297D"/>
    <w:rsid w:val="2D9A4581"/>
    <w:rsid w:val="2DFF620E"/>
    <w:rsid w:val="32AB08FB"/>
    <w:rsid w:val="33B51311"/>
    <w:rsid w:val="3688327B"/>
    <w:rsid w:val="3C372396"/>
    <w:rsid w:val="4125452D"/>
    <w:rsid w:val="474D5040"/>
    <w:rsid w:val="4FAE005B"/>
    <w:rsid w:val="68314891"/>
    <w:rsid w:val="69C51D1A"/>
    <w:rsid w:val="6FB2217A"/>
    <w:rsid w:val="793B5B55"/>
    <w:rsid w:val="7A43244E"/>
    <w:rsid w:val="7C881772"/>
    <w:rsid w:val="7DE10FD3"/>
    <w:rsid w:val="7E99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字符"/>
    <w:basedOn w:val="11"/>
    <w:link w:val="3"/>
    <w:qFormat/>
    <w:uiPriority w:val="99"/>
  </w:style>
  <w:style w:type="character" w:customStyle="1" w:styleId="15">
    <w:name w:val="批注主题 字符"/>
    <w:basedOn w:val="14"/>
    <w:link w:val="8"/>
    <w:semiHidden/>
    <w:qFormat/>
    <w:uiPriority w:val="99"/>
    <w:rPr>
      <w:b/>
      <w:bCs/>
    </w:rPr>
  </w:style>
  <w:style w:type="character" w:customStyle="1" w:styleId="16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formulas xmlns="http://www.yonyou.com/formul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93767255-8CE7-4D87-A521-54E6D064C921}">
  <ds:schemaRefs/>
</ds:datastoreItem>
</file>

<file path=customXml/itemProps2.xml><?xml version="1.0" encoding="utf-8"?>
<ds:datastoreItem xmlns:ds="http://schemas.openxmlformats.org/officeDocument/2006/customXml" ds:itemID="{4753D8C1-23C9-4A81-AF1D-192F4C18013E}">
  <ds:schemaRefs/>
</ds:datastoreItem>
</file>

<file path=customXml/itemProps3.xml><?xml version="1.0" encoding="utf-8"?>
<ds:datastoreItem xmlns:ds="http://schemas.openxmlformats.org/officeDocument/2006/customXml" ds:itemID="{56A0DE84-B94B-42F4-AD52-7EF4D7FC45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1057</Words>
  <Characters>1218</Characters>
  <Lines>9</Lines>
  <Paragraphs>2</Paragraphs>
  <TotalTime>3</TotalTime>
  <ScaleCrop>false</ScaleCrop>
  <LinksUpToDate>false</LinksUpToDate>
  <CharactersWithSpaces>1219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2022-11-14T10:30:00Z</dcterms:created>
  <dc:creator>- Microsoft</dc:creator>
  <cp:lastModifiedBy>梅山竹海</cp:lastModifiedBy>
  <dcterms:modified xsi:type="dcterms:W3CDTF">2022-12-27T03:23:53Z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CCC4DDAA69B84142B3F3318638A0193D</vt:lpwstr>
  </property>
</Properties>
</file>