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宋体" w:eastAsia="方正小标宋_GBK"/>
          <w:b/>
          <w:color w:val="000000"/>
          <w:sz w:val="44"/>
          <w:szCs w:val="32"/>
        </w:rPr>
      </w:pPr>
      <w:bookmarkStart w:id="3" w:name="_GoBack"/>
      <w:r>
        <w:rPr>
          <w:rFonts w:hint="eastAsia" w:ascii="方正小标宋_GBK" w:hAnsi="宋体" w:eastAsia="方正小标宋_GBK"/>
          <w:b/>
          <w:color w:val="000000"/>
          <w:sz w:val="44"/>
          <w:szCs w:val="32"/>
        </w:rPr>
        <w:t>四川护理职业学院成都校区</w:t>
      </w:r>
    </w:p>
    <w:p>
      <w:pPr>
        <w:spacing w:line="600" w:lineRule="exact"/>
        <w:jc w:val="center"/>
        <w:rPr>
          <w:rFonts w:ascii="方正小标宋_GBK" w:hAnsi="宋体" w:eastAsia="方正小标宋_GBK"/>
          <w:b/>
          <w:color w:val="000000"/>
          <w:sz w:val="44"/>
          <w:szCs w:val="32"/>
        </w:rPr>
      </w:pPr>
      <w:r>
        <w:rPr>
          <w:rFonts w:hint="eastAsia" w:ascii="方正小标宋_GBK" w:hAnsi="宋体" w:eastAsia="方正小标宋_GBK"/>
          <w:b/>
          <w:color w:val="000000"/>
          <w:sz w:val="44"/>
          <w:szCs w:val="32"/>
        </w:rPr>
        <w:t>2023年监控升级改造项目采购清单</w:t>
      </w:r>
      <w:bookmarkEnd w:id="3"/>
    </w:p>
    <w:p>
      <w:pPr>
        <w:spacing w:line="600" w:lineRule="exact"/>
        <w:jc w:val="left"/>
        <w:rPr>
          <w:rFonts w:ascii="宋体" w:hAnsi="宋体"/>
          <w:b/>
          <w:color w:val="000000"/>
          <w:sz w:val="24"/>
        </w:rPr>
      </w:pPr>
    </w:p>
    <w:p>
      <w:pPr>
        <w:spacing w:line="560" w:lineRule="exact"/>
        <w:ind w:firstLine="643" w:firstLineChars="200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一、项目概述。</w:t>
      </w:r>
      <w:bookmarkStart w:id="0" w:name="_Hlk107386707"/>
    </w:p>
    <w:p>
      <w:pPr>
        <w:spacing w:line="560" w:lineRule="exact"/>
        <w:ind w:firstLine="643" w:firstLineChars="200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本项目为四川护理职业学院成都校区2023年公共区域监控设备及校园监控系统升级改造服务项目。项目主要内容如下：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（一）沿校区主干道至教学区围墙，在1</w:t>
      </w:r>
      <w:r>
        <w:rPr>
          <w:rFonts w:ascii="仿宋" w:hAnsi="仿宋" w:eastAsia="仿宋" w:cs="宋体"/>
          <w:kern w:val="0"/>
          <w:sz w:val="32"/>
          <w:szCs w:val="32"/>
        </w:rPr>
        <w:t>#</w:t>
      </w:r>
      <w:r>
        <w:rPr>
          <w:rFonts w:hint="eastAsia" w:ascii="仿宋" w:hAnsi="仿宋" w:eastAsia="仿宋" w:cs="宋体"/>
          <w:kern w:val="0"/>
          <w:sz w:val="32"/>
          <w:szCs w:val="32"/>
        </w:rPr>
        <w:t>宿舍、2</w:t>
      </w:r>
      <w:r>
        <w:rPr>
          <w:rFonts w:ascii="仿宋" w:hAnsi="仿宋" w:eastAsia="仿宋" w:cs="宋体"/>
          <w:kern w:val="0"/>
          <w:sz w:val="32"/>
          <w:szCs w:val="32"/>
        </w:rPr>
        <w:t>#</w:t>
      </w:r>
      <w:r>
        <w:rPr>
          <w:rFonts w:hint="eastAsia" w:ascii="仿宋" w:hAnsi="仿宋" w:eastAsia="仿宋" w:cs="宋体"/>
          <w:kern w:val="0"/>
          <w:sz w:val="32"/>
          <w:szCs w:val="32"/>
        </w:rPr>
        <w:t>宿舍、3</w:t>
      </w:r>
      <w:r>
        <w:rPr>
          <w:rFonts w:ascii="仿宋" w:hAnsi="仿宋" w:eastAsia="仿宋" w:cs="宋体"/>
          <w:kern w:val="0"/>
          <w:sz w:val="32"/>
          <w:szCs w:val="32"/>
        </w:rPr>
        <w:t>#</w:t>
      </w:r>
      <w:r>
        <w:rPr>
          <w:rFonts w:hint="eastAsia" w:ascii="仿宋" w:hAnsi="仿宋" w:eastAsia="仿宋" w:cs="宋体"/>
          <w:kern w:val="0"/>
          <w:sz w:val="32"/>
          <w:szCs w:val="32"/>
        </w:rPr>
        <w:t>宿舍、三食堂、三号教学楼、图书馆、一号教学楼等周边更换监控立杆</w:t>
      </w:r>
      <w:r>
        <w:rPr>
          <w:rFonts w:ascii="仿宋" w:hAnsi="仿宋" w:eastAsia="仿宋" w:cs="宋体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个，增设立杆</w:t>
      </w:r>
      <w:r>
        <w:rPr>
          <w:rFonts w:ascii="仿宋" w:hAnsi="仿宋" w:eastAsia="仿宋" w:cs="宋体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个，保留原有监控摄像机</w:t>
      </w:r>
      <w:r>
        <w:rPr>
          <w:rFonts w:ascii="仿宋" w:hAnsi="仿宋" w:eastAsia="仿宋" w:cs="宋体"/>
          <w:kern w:val="0"/>
          <w:sz w:val="32"/>
          <w:szCs w:val="32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</w:rPr>
        <w:t>个，增设监控摄像机1</w:t>
      </w:r>
      <w:r>
        <w:rPr>
          <w:rFonts w:ascii="仿宋" w:hAnsi="仿宋" w:eastAsia="仿宋" w:cs="宋体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个；校区南大门更换监控立杆1个，新增监控立杆1个，增设2个监控摄像机。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（二）在操场周边更换监控立杆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个，新增监控立杆</w:t>
      </w:r>
      <w:r>
        <w:rPr>
          <w:rFonts w:ascii="仿宋" w:hAnsi="仿宋" w:eastAsia="仿宋" w:cs="宋体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个，保留原有监控摄像机1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个，增设监控摄像机5个。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（三）在新女宿及消防通道新增监控立杆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个，增设</w:t>
      </w:r>
      <w:r>
        <w:rPr>
          <w:rFonts w:ascii="仿宋" w:hAnsi="仿宋" w:eastAsia="仿宋" w:cs="宋体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个监控摄像机。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（四）分别为一食堂、二食堂、三食堂的操作间及大厅新增6个监控点位，共计1</w:t>
      </w:r>
      <w:r>
        <w:rPr>
          <w:rFonts w:ascii="仿宋" w:hAnsi="仿宋" w:eastAsia="仿宋" w:cs="宋体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个监控摄像机。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（五）为综合楼5楼新增2个监控点位，覆盖2楼平台公共区域，增设2个监控摄像机。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（六）在视频监控室内，为监控录像存储设备新增存储硬盘5</w:t>
      </w:r>
      <w:r>
        <w:rPr>
          <w:rFonts w:ascii="仿宋" w:hAnsi="仿宋" w:eastAsia="仿宋" w:cs="宋体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块以提升数据存储能力，增加存储时长。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七）升级改造室外监控的网络线路，自监控室到各监控点采用光纤直连，分别为宿舍楼/教学楼片区、操场/新女宿片区各设光纤汇聚点1个；升级改造艺术楼光纤网络，便于艺术楼现有监控系统接入校区公共区域监控系统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（八）改造监控室内的网络情况，升级监控系统综合管理平台，提升监控数据处理能力。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二、技术要求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tbl>
      <w:tblPr>
        <w:tblStyle w:val="8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6"/>
        <w:gridCol w:w="6237"/>
        <w:gridCol w:w="940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bookmarkStart w:id="1" w:name="_Hlk107583794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性能参数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室外全彩区域入侵摄像机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1.智能枪型网络摄像机200万像素，视频分辨率和帧率≥1920×1080、25帧/秒；在该分辨率下可输出实时图像；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2.最低照度彩色≤0.002 lx，支持H.265；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strike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3.内置GPU芯片，内置≥1个麦克风、≥1个扬声器、≥1个SD卡卡槽、≥1个DC12V输出接口；</w:t>
            </w:r>
            <w:r>
              <w:rPr>
                <w:rFonts w:ascii="仿宋_GB2312" w:hAnsi="宋体" w:eastAsia="仿宋_GB2312" w:cs="宋体"/>
                <w:strike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strike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4.当报警产生时，可触发联动声音报警，报警音量和重复次数可设置；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strike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5.具有智能报警防干扰功能，当智能分析行为类型为区域入侵、越界入侵、进入区域、离开区域时，报警检测目标设置为人体或车辆时， 在设定的检测区域内出现“光线明暗变化、篮球滚动、狗行走、树摇晃”情况时，不触发报警；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6.从麦克风接收声音可采集距离麦克风≥10米范围内人正常交谈声音，并传送至客户端播放；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7.支持白光补光、混合补光模式，白光补光距离≥30米，混光补光距离≥50米，支持自动和手动亮度调节，支持跟据被摄物的距离自动调节补光灯亮度，开启白光灯进行补光时，支持输出彩色视频图像；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8.支持PoE供电；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9.应有不少于1对音频输入/输出接口、不少于1对报警输入输出接口，防护等级≥IP67。                                                                           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室外全彩网络摄像机  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1.智能彩色网络枪型摄像机200万像素，视频分辨率和帧率≥1920×1080、25帧/秒；在该分辨 率下可输出实时图像；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2.镜头光圈不低于F1.0，最低照度彩色≤0.0005 lx，视频压缩标准支持H.265、H.264；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3.摄像机靶面尺寸≥1/2.7英寸，内置麦克风，自带暖白光补光灯，支持自动和手动亮度调节模式，在自动模式下，支持根据被摄物的距离自动调节补光灯亮度，在开启白光灯进行补光时，可输出彩色视频图像；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4.支持POE供电；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5.白光补光距离≥30米，防护等级不低于IP66。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室内防油污网络摄像机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1、智能枪型网络摄像机，像素200万像素,视频分辨率和帧率≥1920×1080、25帧/秒；在该分辨率下可输出实时图像；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2、最低照度应不高于彩色：0.002 lx (AGC开，RJ45输出)，黑白:0.0002 lx (AGC开，RJ45输出) ，灰度等级不小于11级。红外补光距离不小于30米。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3、需支持多码流技术。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4、支持H.265、H.264、MJPEG视频编码格式，其中H.265、H.264支持Baseline/Main/High Profile。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5、需具备大于100dB宽动态能力。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6、需支持多行字符显示，字体颜色可设置，需具有图片叠加到视频画面功能。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7、摄像机能够在零下30摄氏度至60摄氏度，湿度小于93%环境下稳定工作。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8、需具有报警输入和报警输出接口，具有音频输入、音频输出接口，需支持MP2L2、AAC和PCM音频编码。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9、不低于IP67防尘防水等级。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10、需具有1个吸附式防护罩。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11、筒机镜头护罩无需任何工具即可实现快速拆卸及安装，方便镜头护罩的清洗、更换。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2.支持POE供电；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室内网络摄像机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1.视频分辨率和帧率≥1920×1080、25 帧/秒；在该分辨 率下可输出实时图像；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2.智能枪型网络摄像机，像素200万像素；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3.智能侦测：支持越界侦测；                              4.支持背光补偿，强光抑制，3D 数字降噪，宽动态适应不同监控环境；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5.1 个内置麦克风，高清拾音；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6.支持柔光灯补光，照射距离最远可达≥30 m；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7.符合 IP66 防尘防水设计，可靠性高；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.支持POE供电；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硬盘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1.机械硬盘，容量不小于8TB,转速不小于7200RPM,3.5英寸标准盘,支持SATA数据接口。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2.硬盘应能与现有监控存储设备匹配。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核心网络交换设备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1.整机数据交换容量≥2.4Tbps，包转发率≥462Mpps；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2.业务板槽位数≥1，配置冗余模块化电源与风扇；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 10/100/1000Base-T端口≥28个、万兆SFP+口≥8个，4个千兆光口（Combo接口）；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、支持VxLAN ，能够实现基于IPv4/IPv6的VxLAN二三层互通，包括分布式网关或集中式网关；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、支持M-LAG跨设备链路聚合技术；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、支持MACsec硬件加密技术，可为用户提供安全的MAC层数据发送和接收服务；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交换设备光模块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1.光模块数据传输速率为100/1000Mbps自适应，单模，双纤，采用L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接口，光波长1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310nm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，光传输距离不小于1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0km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汇聚网络交换设备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1、交换容量≥432Gbps，转发能力≥108Mbps 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2、固化端口：100/1000BASE-X SFP口≥24个，10/100/1000Base-T端口≥8个，万兆SFP+口≥4个；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3、采用专业的内置防雷技术，支持业界专业的10KV业务端口防雷能力；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4. 支持横向、纵向虚拟化功能；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strike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5. 支持RRPP（快速环网保护协议），支持Smartlink，支持RSTP功能，支持MSTP功能。                    </w:t>
            </w:r>
            <w:r>
              <w:rPr>
                <w:rFonts w:hint="eastAsia" w:ascii="仿宋_GB2312" w:hAnsi="宋体" w:eastAsia="仿宋_GB2312" w:cs="宋体"/>
                <w:strike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接入层网络交换设备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1.端口：≥8个10/100/1000M以太网电接口+2千兆SFP光口；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2.性能：交换能力≥20Gbps，转发率≥14Mpps；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3.支持POE+供电；POE供电功率≥125W；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4. 支持业务端口防雷≥6KV；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5. 支持共享缓存架构；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芯光缆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1.单模铠装室外48芯光缆，国标光缆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芯光缆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2.单模铠装室外24芯光缆，国标光缆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芯光缆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3.单模铠装室外12芯光缆，国标光缆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芯光缆</w:t>
            </w:r>
          </w:p>
        </w:tc>
        <w:tc>
          <w:tcPr>
            <w:tcW w:w="62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4.单模铠装室外4芯光缆，国标光缆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653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ODF光纤盒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芯，含耦合器，含尾纤，机架式安装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9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2芯，含耦合器，含尾纤，机架式安装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2芯，含耦合器，含尾纤，机架式安装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9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芯，含耦合器，含尾纤，机架式安装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芯，含耦合器，含尾纤，机架式安装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光纤终端盒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1、4芯，含耦合器，尾纤标配LC-LC，含尾纤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电源线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国标无氧铜护套三芯2.5平方线缆，应包含包含线缆保护管，管件，防水材料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568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电源线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国标无氧铜护套三芯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.5平方线缆，包含线缆保护管，管件，防水材料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879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信号线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国标六类非屏蔽无氧铜网络线缆，线径：4*2*0.6；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2890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防水箱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1.落地式防水箱，尺寸为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800mm*600mm*600mm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,具备防水、隔热功能，S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U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不锈钢材质，板材厚度1.0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2.箱内配有多孔位排插及电气开关。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防水箱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1.喷塑烤漆室外防水箱，尺寸为4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00mm*500mm*200mm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2.配置散热风扇、热流引流孔、隔热垫板，机柜分两层，电力信号可分层管理，箱内配有多孔位排插及电气开关。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防水箱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1.配置散热风扇，热流引流孔，隔热垫板，机柜分两层，电力信号可分层管，壁装，室内安装，箱体外部尺寸为：500MM*600MM*450MM，箱内配有多孔位排插及电气开关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立杆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1、每组立杆高度不低于3米（不含预埋地笼高度），应配有一套地笼、一套避雷针，材质为镀锌钢管外烤漆，做防锈处理；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2、每组立杆搭配3根支臂（含摄像机万向支架）；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PDU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</w:t>
            </w:r>
            <w:r>
              <w:rPr>
                <w:rFonts w:ascii="仿宋_GB2312" w:hAnsi="仿宋" w:eastAsia="仿宋_GB2312" w:cs="宋体"/>
                <w:sz w:val="24"/>
              </w:rPr>
              <w:t>.</w:t>
            </w:r>
            <w:r>
              <w:rPr>
                <w:rFonts w:hint="eastAsia" w:ascii="仿宋_GB2312" w:hAnsi="仿宋" w:eastAsia="仿宋_GB2312" w:cs="宋体"/>
                <w:sz w:val="24"/>
              </w:rPr>
              <w:t>机柜专用8位防雷插排，可安装于1</w:t>
            </w:r>
            <w:r>
              <w:rPr>
                <w:rFonts w:ascii="仿宋_GB2312" w:hAnsi="仿宋" w:eastAsia="仿宋_GB2312" w:cs="宋体"/>
                <w:sz w:val="24"/>
              </w:rPr>
              <w:t>9</w:t>
            </w:r>
            <w:r>
              <w:rPr>
                <w:rFonts w:hint="eastAsia" w:ascii="仿宋_GB2312" w:hAnsi="仿宋" w:eastAsia="仿宋_GB2312" w:cs="宋体"/>
                <w:sz w:val="24"/>
              </w:rPr>
              <w:t>英寸标准机柜内；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</w:t>
            </w:r>
            <w:r>
              <w:rPr>
                <w:rFonts w:ascii="仿宋_GB2312" w:hAnsi="仿宋" w:eastAsia="仿宋_GB2312" w:cs="宋体"/>
                <w:sz w:val="24"/>
              </w:rPr>
              <w:t>.</w:t>
            </w:r>
            <w:r>
              <w:rPr>
                <w:rFonts w:hint="eastAsia" w:ascii="仿宋_GB2312" w:hAnsi="仿宋" w:eastAsia="仿宋_GB2312" w:cs="宋体"/>
                <w:sz w:val="24"/>
              </w:rPr>
              <w:t>额定最大功率2</w:t>
            </w:r>
            <w:r>
              <w:rPr>
                <w:rFonts w:ascii="仿宋_GB2312" w:hAnsi="仿宋" w:eastAsia="仿宋_GB2312" w:cs="宋体"/>
                <w:sz w:val="24"/>
              </w:rPr>
              <w:t>500W</w:t>
            </w:r>
            <w:r>
              <w:rPr>
                <w:rFonts w:hint="eastAsia" w:ascii="仿宋_GB2312" w:hAnsi="仿宋" w:eastAsia="仿宋_GB2312" w:cs="宋体"/>
                <w:sz w:val="24"/>
              </w:rPr>
              <w:t>，最大电流1</w:t>
            </w:r>
            <w:r>
              <w:rPr>
                <w:rFonts w:ascii="仿宋_GB2312" w:hAnsi="仿宋" w:eastAsia="仿宋_GB2312" w:cs="宋体"/>
                <w:sz w:val="24"/>
              </w:rPr>
              <w:t>0A</w:t>
            </w:r>
            <w:r>
              <w:rPr>
                <w:rFonts w:hint="eastAsia" w:ascii="仿宋_GB2312" w:hAnsi="仿宋" w:eastAsia="仿宋_GB2312" w:cs="宋体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3</w:t>
            </w:r>
            <w:r>
              <w:rPr>
                <w:rFonts w:ascii="仿宋_GB2312" w:hAnsi="仿宋" w:eastAsia="仿宋_GB2312" w:cs="宋体"/>
                <w:sz w:val="24"/>
              </w:rPr>
              <w:t>.</w:t>
            </w:r>
            <w:r>
              <w:rPr>
                <w:rFonts w:hint="eastAsia" w:ascii="仿宋_GB2312" w:hAnsi="仿宋" w:eastAsia="仿宋_GB2312" w:cs="宋体"/>
                <w:sz w:val="24"/>
              </w:rPr>
              <w:t>具备防雷过载断路保护，带总控开关。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系统集成和调试服务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完成本方案中各类网络线缆、光缆、电气线路的敷设、连接；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（1）线路地下敷设部分：土质/绿化地面5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27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米；水泥/沥青路面1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53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米；行道砖/植草砖路面1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34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米；电缆沟部分230米。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监控视频综合管理平台升级，在现有基础上增加1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路监控接入服务；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增加平台内存提升数据处理能力，现有内存容量为3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2GB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，提升后的平台内存总容量不小于64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GB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监控室内监控网络的改造服务，整理4组网络机柜内设备、线缆，布局合理，整洁有序；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完成新增设备的调试，接入综合管理平台统一管理和控制。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项</w:t>
            </w:r>
          </w:p>
        </w:tc>
      </w:tr>
      <w:bookmarkEnd w:id="1"/>
    </w:tbl>
    <w:p>
      <w:pPr>
        <w:spacing w:line="560" w:lineRule="exact"/>
        <w:ind w:firstLine="643" w:firstLineChars="200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四、质量要求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bookmarkStart w:id="2" w:name="_Hlk129619680"/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（一）设施设备要求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1.供应商提供的设备须与目前校区运行监控系统匹配（校区监控系统管理平台为海康威视）。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2.供应商提供的网络交换设备应为同一品牌；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3.供应商提供的的网络摄像机应为同一品牌；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.供应商提供的设施设备（含零部件、配件等）应为全新产品，表面无划伤、无碰撞痕迹，且权属清楚，不得侵害他人的知识产权。必须符合或优于国家（行业）标准，以及本项目磋商文件的技术指标与出厂标准。</w:t>
      </w:r>
    </w:p>
    <w:p>
      <w:pPr>
        <w:spacing w:line="560" w:lineRule="exact"/>
        <w:ind w:firstLine="643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（二）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安装施工要求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1.各类网络线缆、光缆、电气线路的敷设、连接室内部分应按要求敷设于室内桥架或线管内；室外部分应穿管并敷设于地下，敷设深度不小于25公分，线管直径应不小于50mm，穿越路面部分线管应采用60mm镀锌钢管；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2.网络线缆连接应根据线缆特性选择合适的接头；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3.光缆连接应采用热熔接技术，单芯光衰不大于23dB，应自行提供热熔接所需符合光纤终端连接的尾纤、跳纤等消耗性材料；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4.电气线缆的连接宜端子连接，所有连接处不应位于地下，且需做好防水。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5.各类线缆敷设过程中，若有破路、开槽等破坏性施工需在施工完成后及时恢复原状；恢复时需采用混凝土保护已敷设的线缆。敷设线缆时应根据敷设距离留有检修口，相邻检修口距离不应大于60米，且应在线缆转弯处设置检修口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6.所有线路均按照要求穿管，所有接头处做防水处理；线路连接处需置于地面以上，地下部分缆线不应有接头。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7</w:t>
      </w:r>
      <w:r>
        <w:rPr>
          <w:rFonts w:ascii="仿宋_GB2312" w:hAnsi="仿宋" w:eastAsia="仿宋_GB2312" w:cs="宋体"/>
          <w:bCs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所采用的设备安装时应统一按照要求做防水处理。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8.监控立杆和摄像机支架的安装需牢固，不得在安装后有晃动、脱落现象。监控立杆底部应埋设地笼、混凝土回填，确保立杆安装牢固。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9.所有设备、线缆应在完成安装、调试后张贴或悬挂标明设备类型、线缆用途（连接端、走向等）的机打标签。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（三）技术服务要求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1.现有海康威视监控视频综合管理系统升级，须增加100路监控接入服务，便于新增设备接入综合管理系统。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2.增加平台内存提升数据处理能力，确保平台数据处理能力冗余，提升后的平台内存总容量不小于64G</w:t>
      </w:r>
      <w:r>
        <w:rPr>
          <w:rFonts w:ascii="仿宋_GB2312" w:hAnsi="仿宋" w:eastAsia="仿宋_GB2312" w:cs="宋体"/>
          <w:bCs/>
          <w:kern w:val="0"/>
          <w:sz w:val="32"/>
          <w:szCs w:val="32"/>
        </w:rPr>
        <w:t>B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3.监控室内监控网络的改造服务，整理4组网络机柜内设备、线缆，设备布局合理，线缆整洁有序；提升监控中心网络数据处理能力，根据校区内监控点位布局调整数据汇聚入口，增加核心数据转发能力，减少网络不畅造成的卡顿情况。应自行提供改造过程所需的跳纤、网线、扎带等消耗性材料。</w:t>
      </w:r>
      <w:bookmarkEnd w:id="2"/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</w:t>
      </w:r>
      <w:r>
        <w:rPr>
          <w:rFonts w:ascii="仿宋_GB2312" w:hAnsi="仿宋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完成施工后，提供竣工图纸。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</w:t>
      </w:r>
      <w:r>
        <w:rPr>
          <w:rFonts w:ascii="仿宋_GB2312" w:hAnsi="仿宋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施工完成后，将各类建渣、垃圾等清运出校外，不得随意丢弃、堆积在采购人院内。</w:t>
      </w:r>
    </w:p>
    <w:p>
      <w:pPr>
        <w:spacing w:line="560" w:lineRule="exact"/>
        <w:ind w:firstLine="643" w:firstLineChars="200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六、售后服务及要求。</w:t>
      </w:r>
    </w:p>
    <w:p>
      <w:pPr>
        <w:spacing w:line="56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1.售后服务要求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： 供应商提供一年质保（自验收合格之日开始计算），质保期免费内上门或返厂维修（如需返厂维修的，供应商须免费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提供备用设备供采购人临时使用）；质保期外提供一年维护服务，维护期内如有安装质量问题免费维修，非安装质量问题提供有偿维修。</w:t>
      </w:r>
    </w:p>
    <w:p>
      <w:pPr>
        <w:spacing w:line="56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2.项目履行时间及地点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： 自合同签订之日起</w:t>
      </w:r>
      <w:r>
        <w:rPr>
          <w:rFonts w:ascii="仿宋_GB2312" w:hAnsi="仿宋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日内，地点是成都市龙泉驿区龙都南路1</w:t>
      </w:r>
      <w:r>
        <w:rPr>
          <w:rFonts w:ascii="仿宋_GB2312" w:hAnsi="仿宋" w:eastAsia="仿宋_GB2312" w:cs="宋体"/>
          <w:kern w:val="0"/>
          <w:sz w:val="32"/>
          <w:szCs w:val="32"/>
        </w:rPr>
        <w:t>73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号四川护理职业学院。</w:t>
      </w:r>
    </w:p>
    <w:p>
      <w:pPr>
        <w:spacing w:line="560" w:lineRule="exact"/>
        <w:ind w:firstLine="643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3.服务期（服务类项目填写）、付款方式、</w:t>
      </w:r>
      <w:r>
        <w:rPr>
          <w:rFonts w:ascii="仿宋_GB2312" w:hAnsi="仿宋" w:eastAsia="仿宋_GB2312" w:cs="宋体"/>
          <w:b/>
          <w:kern w:val="0"/>
          <w:sz w:val="32"/>
          <w:szCs w:val="32"/>
        </w:rPr>
        <w:t>验收标准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（1）履约保证金的缴纳。合同签订前，成交供应商应向采购人缴纳合同金额的5%的履约保证金。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2）付款方式。正式验收合格后，成交供应商提供完整有效的普通增值税发票，采购人以转账方式向成交供应商支付全部合同金额。自正式验收合格后设备正常运行一年后无质量事故，采购人以转账方式无息向乙方退还履约保证金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</w:t>
      </w:r>
      <w:r>
        <w:rPr>
          <w:rFonts w:ascii="仿宋_GB2312" w:hAnsi="仿宋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）验收标准：提供的设备符合采购及合同清单；设备和系统经调试均正常运行；涉及开槽、埋地等施工后恢复；走线、接线规范。</w:t>
      </w: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pStyle w:val="6"/>
        <w:shd w:val="clear" w:color="auto" w:fill="FFFFFF"/>
        <w:spacing w:before="0" w:beforeAutospacing="0" w:after="0" w:afterAutospacing="0" w:line="500" w:lineRule="atLeast"/>
        <w:textAlignment w:val="baseline"/>
        <w:rPr>
          <w:rFonts w:ascii="仿宋_GB2312" w:hAnsi="仿宋_GB2312" w:eastAsia="仿宋_GB2312" w:cs="仿宋_GB2312"/>
          <w:color w:val="38383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31ABB7-80CD-46DA-8733-1500A62990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9A34212-5919-4D27-80F2-A046A05582F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D8099A1-EAE2-42D7-B929-2B7D2C35C12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9979ACF-0528-4F06-93B1-946AF3CB61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0929E29-67E4-4DC5-9851-D4E174B2E6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YWMxN2U1MzA5ZWFiN2MwYzY2NTI3MmE4ZWQ1NzQifQ=="/>
  </w:docVars>
  <w:rsids>
    <w:rsidRoot w:val="001045B9"/>
    <w:rsid w:val="0002617B"/>
    <w:rsid w:val="00073E9C"/>
    <w:rsid w:val="00096AF9"/>
    <w:rsid w:val="001045B9"/>
    <w:rsid w:val="00137F95"/>
    <w:rsid w:val="00155FC6"/>
    <w:rsid w:val="001874EA"/>
    <w:rsid w:val="00217E8E"/>
    <w:rsid w:val="0026162F"/>
    <w:rsid w:val="002E6EBB"/>
    <w:rsid w:val="003468E1"/>
    <w:rsid w:val="003A4D66"/>
    <w:rsid w:val="003C312F"/>
    <w:rsid w:val="004867D9"/>
    <w:rsid w:val="005128E2"/>
    <w:rsid w:val="0052313E"/>
    <w:rsid w:val="005548DD"/>
    <w:rsid w:val="00557912"/>
    <w:rsid w:val="005A2748"/>
    <w:rsid w:val="006346F9"/>
    <w:rsid w:val="00675A87"/>
    <w:rsid w:val="00797261"/>
    <w:rsid w:val="007A236A"/>
    <w:rsid w:val="007F5298"/>
    <w:rsid w:val="00825CA0"/>
    <w:rsid w:val="00837619"/>
    <w:rsid w:val="00851AED"/>
    <w:rsid w:val="00864F1A"/>
    <w:rsid w:val="00900B7E"/>
    <w:rsid w:val="00A072A4"/>
    <w:rsid w:val="00A60984"/>
    <w:rsid w:val="00A92BD1"/>
    <w:rsid w:val="00B04384"/>
    <w:rsid w:val="00B31606"/>
    <w:rsid w:val="00B31961"/>
    <w:rsid w:val="00B51867"/>
    <w:rsid w:val="00BA444D"/>
    <w:rsid w:val="00BB330E"/>
    <w:rsid w:val="00BC54AC"/>
    <w:rsid w:val="00C02C57"/>
    <w:rsid w:val="00CD0CF5"/>
    <w:rsid w:val="00D5024D"/>
    <w:rsid w:val="00D62A14"/>
    <w:rsid w:val="00EA6523"/>
    <w:rsid w:val="00EB20C8"/>
    <w:rsid w:val="00EF1334"/>
    <w:rsid w:val="00F124D9"/>
    <w:rsid w:val="00F3462F"/>
    <w:rsid w:val="00FA590B"/>
    <w:rsid w:val="038F71C9"/>
    <w:rsid w:val="0FA75735"/>
    <w:rsid w:val="14700951"/>
    <w:rsid w:val="25C20A11"/>
    <w:rsid w:val="285030B0"/>
    <w:rsid w:val="2D395F8D"/>
    <w:rsid w:val="3688327B"/>
    <w:rsid w:val="3F0A537A"/>
    <w:rsid w:val="428F691E"/>
    <w:rsid w:val="43DC6A69"/>
    <w:rsid w:val="46071667"/>
    <w:rsid w:val="4C7C7BB0"/>
    <w:rsid w:val="4ED11A10"/>
    <w:rsid w:val="6F6668B1"/>
    <w:rsid w:val="72F378F8"/>
    <w:rsid w:val="7B72258D"/>
    <w:rsid w:val="7E996DF2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0"/>
    <w:link w:val="2"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ulas xmlns="http://www.yonyou.com/formula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4753D8C1-23C9-4A81-AF1D-192F4C18013E}">
  <ds:schemaRefs/>
</ds:datastoreItem>
</file>

<file path=customXml/itemProps2.xml><?xml version="1.0" encoding="utf-8"?>
<ds:datastoreItem xmlns:ds="http://schemas.openxmlformats.org/officeDocument/2006/customXml" ds:itemID="{93767255-8CE7-4D87-A521-54E6D064C921}">
  <ds:schemaRefs/>
</ds:datastoreItem>
</file>

<file path=customXml/itemProps3.xml><?xml version="1.0" encoding="utf-8"?>
<ds:datastoreItem xmlns:ds="http://schemas.openxmlformats.org/officeDocument/2006/customXml" ds:itemID="{56A0DE84-B94B-42F4-AD52-7EF4D7FC4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5036</Words>
  <Characters>5753</Characters>
  <Lines>47</Lines>
  <Paragraphs>13</Paragraphs>
  <TotalTime>3</TotalTime>
  <ScaleCrop>false</ScaleCrop>
  <LinksUpToDate>false</LinksUpToDate>
  <CharactersWithSpaces>6351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2023-04-12T03:28:00Z</dcterms:created>
  <dc:creator>- Microsoft</dc:creator>
  <cp:lastModifiedBy> 碧海☆蓝天</cp:lastModifiedBy>
  <dcterms:modified xsi:type="dcterms:W3CDTF">2023-04-13T07:03:58Z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CCC4DDAA69B84142B3F3318638A0193D</vt:lpwstr>
  </property>
</Properties>
</file>